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bookmarkStart w:id="30" w:name="_GoBack"/>
      <w:bookmarkEnd w:id="30"/>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特克斯县喀拉托海镇</w:t>
      </w:r>
      <w:r>
        <w:rPr>
          <w:rFonts w:hint="eastAsia" w:ascii="方正小标宋_GBK" w:hAnsi="华文中宋" w:eastAsia="方正小标宋_GBK" w:cs="宋体"/>
          <w:b/>
          <w:kern w:val="0"/>
          <w:sz w:val="48"/>
          <w:szCs w:val="48"/>
        </w:rPr>
        <w:t>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Style w:val="16"/>
          <w:rFonts w:hint="eastAsia" w:ascii="仿宋_GB2312" w:hAnsi="楷体" w:eastAsia="仿宋_GB2312" w:cs="Times New Roman"/>
          <w:b w:val="0"/>
          <w:spacing w:val="-4"/>
          <w:sz w:val="28"/>
          <w:szCs w:val="28"/>
          <w:lang w:val="en-US" w:eastAsia="zh-CN"/>
        </w:rPr>
      </w:pPr>
      <w:r>
        <w:rPr>
          <w:rFonts w:hint="eastAsia" w:hAnsi="宋体" w:eastAsia="仿宋_GB2312" w:cs="宋体"/>
          <w:kern w:val="0"/>
          <w:sz w:val="36"/>
          <w:szCs w:val="36"/>
          <w:highlight w:val="none"/>
        </w:rPr>
        <w:t>部门单位名称（公章）：</w:t>
      </w:r>
      <w:r>
        <w:rPr>
          <w:rFonts w:hint="eastAsia" w:hAnsi="宋体" w:eastAsia="仿宋_GB2312" w:cs="宋体"/>
          <w:kern w:val="0"/>
          <w:sz w:val="36"/>
          <w:szCs w:val="36"/>
          <w:lang w:eastAsia="zh-CN"/>
        </w:rPr>
        <w:t>喀拉托海镇人民政府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 xml:space="preserve"> 月</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 xml:space="preserve"> 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（一）单位基本情况</w:t>
      </w:r>
      <w:bookmarkEnd w:id="2"/>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lang w:eastAsia="zh-CN"/>
        </w:rPr>
        <w:t>党政办公室。主要负责文秘、档案、保密、翻译、综合协调、后勤保障等工作；负责制定乡镇机关各项工作制度并监督落实；负责乡镇机关效能建设及绩效考核；负责机关、派驻机构、事业机构的综合协调工作；负责建立完善“街乡吹哨、部门报到”工作机制，制定实施“呼叫”事项办理信息反馈评价制度，完善和实施对县直部门和派驻机构履职的考核评价机制。</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lang w:eastAsia="zh-CN"/>
        </w:rPr>
        <w:t>党建办公室。主要负责纪检、党务、组织、宣传、机构编制、人事、老干部等工作的规划、管理、协调和监督工作；负责宣传党的各项方针、政策；负责党的基层组织建设和党员队伍建设工作；负责党风廉政建设工作；负责人大、团委、工会、妇联等日常事务；负责政协委员的联络工作；负责“访惠聚”驻村工作、升国旗、农牧民夜校、“民族团结一家亲”、村（社区）考核；负责辖区社团组织的培育、发展和管理；负责组织开展辖区居民的宣传、发动、服务工作；负责特殊群体的帮教帮扶、解决居民困难诉求等工作。</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lang w:eastAsia="zh-CN"/>
        </w:rPr>
        <w:t>经济发展办公室。主要负责农业、农技、农机、林业、畜牧、水利、财政、土地、统计、交通、村镇建设、扶贫开发、招商引资、项目管理、一、二、三产业的规划、管理、服务、协调和监督工作；拟定经济发展、产业结构规划、计划并组织实施；贯彻落实统筹城乡发展、加快推进城乡一体化工作总体部署和目标。</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lang w:eastAsia="zh-CN"/>
        </w:rPr>
        <w:t>社会事务办公室。主要负责政法、社会治安综合治理、****、信访、司法、统战、科技、教育、文化、卫生、体育、广播电视、旅游、****、民政、劳动就业、社会保障、社会救助、退役军人、残疾人、红十字事业的规划、管理、协调和监督工作；负责拟定社会发展规划、计划并组织实施，协助做好镇人武部工作。</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综合执法办公室。主要负责综合行政执法工作的规划、管理、协调和监督工作；完善基层综合执法体制机制，落实行政执法公示制度、执法全过程记录制度、重大执法决定法制审核制度；拟定和实施综合行政执法队伍统一的运行管理制度，包括日常工作制度、包片负责制度、巡查上报制度、执法处置制度、执法协调制度、执法案件督办制度；负责行政执法监督、执法绩效考评；推进综合行政执法信息系统建设；负责联系协调县政府相关行政部门派驻乡镇执法人员以及乡镇执法人员在辖区内开展综合行政执法工作。</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综合行政执法队：开展市场监管、文化市场、农业、交通运输、环境保护、村容村貌、规划、建设，住房保障、安全生产、水利、食品药品等领域日常执法检查，一般违法案件查处，依法相对集中行使行政处罚权，以乡镇名义开展执法工作，并接受有关县级主管部门的业务指导和监督。</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农村合作经济（统计）发展中心：主要负责农村经济管理、财务管理等工作；负责农村集体经济，为农村集体经济健康发展提供保障和服务工作；负责镇政府财政预算决算的编制、办理各项收支结算和对帐、报帐工作；履行统计职责。</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农业（畜牧业）发展服务中心：主要负责农业、畜牧、兽医、草原、林业、农技、农机、水利、科技等方面的服务工作；协助镇政府制定农业、林业、畜牧业、科技等工作的长远发展规划和年度计划并组织实施。</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村镇规划建设发展中心：主要负责国土资源、规划建设、园林绿化、环境保护、交通等方面的服务工作；协助镇政府制定国土资源、园林绿化、环境保护的长远规划和年度计划并组织实施；协助镇政府贯彻落实统筹城乡发展、加快推进城乡一体化工作总体部署和目标。</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综治中心（特克斯县喀拉托海镇网格化服务中心）：负责社会治安综合治理、法治建设、平安创建、网格化管理、安全生产、应急管理、人民武装等方面的服务工作；负责群众信访、矛盾纠纷调解、安置帮教、社区矫正、普法、预防未成年人违法犯罪等工作；负责****管理工作，管理指导基层网格员队伍等；协助镇政府制定社会治安综合治理、法治建设、平安创建、网格化管理、安全生产等工作的长远规划和年度计划并组织实施。</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人口和****生殖健康服务站：负责宣传党和国家有关****的方针、政策、法律，普及****科学知识，负责开展****技术、优生优育等方面和科技引进推广活动；负责做好地方卫生防疫、地方病防治和公共卫生监督等工作；负责承担妇幼保健技术指导、健康教育的宣传工作。</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社会保障（民政）服务中心：负责民政、教育、劳动就业、社会保障、社会救助、退役军、残疾人事业、红十字会等方面的服务工作；协助镇政府制定民政、教育、劳动就业、社会保障、社会救助、退役军等工作的长远发展规划和年度计划并组织实施。</w:t>
      </w:r>
    </w:p>
    <w:p>
      <w:pPr>
        <w:spacing w:line="360" w:lineRule="auto"/>
        <w:ind w:firstLine="544" w:firstLineChars="200"/>
        <w:rPr>
          <w:rStyle w:val="16"/>
          <w:rFonts w:asciiTheme="minorEastAsia" w:hAnsiTheme="minorEastAsia"/>
          <w:bCs w:val="0"/>
          <w:color w:val="FF0000"/>
          <w:spacing w:val="-4"/>
          <w:sz w:val="28"/>
          <w:szCs w:val="28"/>
        </w:rPr>
      </w:pPr>
      <w:r>
        <w:rPr>
          <w:rStyle w:val="16"/>
          <w:rFonts w:hint="eastAsia" w:ascii="仿宋_GB2312" w:hAnsi="楷体" w:eastAsia="仿宋_GB2312"/>
          <w:b w:val="0"/>
          <w:spacing w:val="-4"/>
          <w:sz w:val="28"/>
          <w:szCs w:val="28"/>
          <w:lang w:val="en-US" w:eastAsia="zh-CN"/>
        </w:rPr>
        <w:t>文体广电旅游服务中心：主要负责文化、宣传、体育、广播电视、旅游等方面的服务工作；协助镇政府制定文化、宣传等工作的长远发展规划和年度计划并组织实施。</w:t>
      </w:r>
    </w:p>
    <w:p>
      <w:pPr>
        <w:pStyle w:val="5"/>
        <w:numPr>
          <w:ilvl w:val="0"/>
          <w:numId w:val="1"/>
        </w:numPr>
        <w:spacing w:line="360" w:lineRule="auto"/>
        <w:ind w:firstLine="562" w:firstLineChars="200"/>
        <w:rPr>
          <w:rStyle w:val="16"/>
          <w:rFonts w:hint="eastAsia" w:ascii="仿宋" w:hAnsi="仿宋" w:eastAsia="仿宋"/>
          <w:b/>
          <w:bCs/>
        </w:rPr>
      </w:pPr>
      <w:bookmarkStart w:id="3" w:name="_Toc70450292"/>
      <w:r>
        <w:rPr>
          <w:rStyle w:val="16"/>
          <w:rFonts w:hint="eastAsia" w:ascii="仿宋" w:hAnsi="仿宋" w:eastAsia="仿宋"/>
          <w:b/>
          <w:bCs/>
        </w:rPr>
        <w:t>机构人员构成</w:t>
      </w:r>
      <w:bookmarkEnd w:id="3"/>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eastAsia="zh-CN"/>
        </w:rPr>
        <w:t>特克斯县喀拉托海镇人民政府</w:t>
      </w:r>
      <w:r>
        <w:rPr>
          <w:rStyle w:val="16"/>
          <w:rFonts w:hint="eastAsia" w:ascii="仿宋_GB2312" w:hAnsi="楷体" w:eastAsia="仿宋_GB2312"/>
          <w:b w:val="0"/>
          <w:spacing w:val="-4"/>
          <w:sz w:val="28"/>
          <w:szCs w:val="28"/>
        </w:rPr>
        <w:t>的预算包括：</w:t>
      </w:r>
      <w:r>
        <w:rPr>
          <w:rStyle w:val="16"/>
          <w:rFonts w:hint="eastAsia" w:ascii="仿宋_GB2312" w:hAnsi="楷体" w:eastAsia="仿宋_GB2312"/>
          <w:b w:val="0"/>
          <w:spacing w:val="-4"/>
          <w:sz w:val="28"/>
          <w:szCs w:val="28"/>
          <w:highlight w:val="none"/>
          <w:lang w:eastAsia="zh-CN"/>
        </w:rPr>
        <w:t>特克斯县喀拉托海镇人民政府</w:t>
      </w:r>
      <w:r>
        <w:rPr>
          <w:rStyle w:val="16"/>
          <w:rFonts w:hint="eastAsia" w:ascii="仿宋_GB2312" w:hAnsi="楷体" w:eastAsia="仿宋_GB2312"/>
          <w:b w:val="0"/>
          <w:spacing w:val="-4"/>
          <w:sz w:val="28"/>
          <w:szCs w:val="28"/>
          <w:highlight w:val="none"/>
        </w:rPr>
        <w:t>本级预算及下属</w:t>
      </w:r>
      <w:r>
        <w:rPr>
          <w:rStyle w:val="16"/>
          <w:rFonts w:hint="eastAsia" w:ascii="仿宋_GB2312" w:hAnsi="楷体" w:eastAsia="仿宋_GB2312"/>
          <w:b w:val="0"/>
          <w:spacing w:val="-4"/>
          <w:sz w:val="28"/>
          <w:szCs w:val="28"/>
          <w:highlight w:val="none"/>
          <w:lang w:val="en-US" w:eastAsia="zh-CN"/>
        </w:rPr>
        <w:t>8</w:t>
      </w:r>
      <w:r>
        <w:rPr>
          <w:rStyle w:val="16"/>
          <w:rFonts w:hint="eastAsia" w:ascii="仿宋_GB2312" w:hAnsi="楷体" w:eastAsia="仿宋_GB2312"/>
          <w:b w:val="0"/>
          <w:spacing w:val="-4"/>
          <w:sz w:val="28"/>
          <w:szCs w:val="28"/>
          <w:highlight w:val="none"/>
        </w:rPr>
        <w:t>家预算单位在内的汇总</w:t>
      </w:r>
      <w:r>
        <w:rPr>
          <w:rStyle w:val="16"/>
          <w:rFonts w:hint="eastAsia" w:ascii="仿宋_GB2312" w:hAnsi="楷体" w:eastAsia="仿宋_GB2312"/>
          <w:b w:val="0"/>
          <w:spacing w:val="-4"/>
          <w:sz w:val="28"/>
          <w:szCs w:val="28"/>
        </w:rPr>
        <w:t>预算。</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lang w:eastAsia="zh-CN"/>
        </w:rPr>
        <w:t>特克斯县喀拉托海镇人民政府</w:t>
      </w:r>
      <w:r>
        <w:rPr>
          <w:rStyle w:val="16"/>
          <w:rFonts w:hint="eastAsia" w:ascii="仿宋_GB2312" w:hAnsi="楷体" w:eastAsia="仿宋_GB2312"/>
          <w:b w:val="0"/>
          <w:spacing w:val="-4"/>
          <w:sz w:val="28"/>
          <w:szCs w:val="28"/>
        </w:rPr>
        <w:t>本级下设</w:t>
      </w:r>
      <w:r>
        <w:rPr>
          <w:rStyle w:val="16"/>
          <w:rFonts w:hint="eastAsia" w:ascii="仿宋_GB2312" w:hAnsi="楷体" w:eastAsia="仿宋_GB2312"/>
          <w:b w:val="0"/>
          <w:spacing w:val="-4"/>
          <w:sz w:val="28"/>
          <w:szCs w:val="28"/>
          <w:lang w:val="en-US" w:eastAsia="zh-CN"/>
        </w:rPr>
        <w:t>12</w:t>
      </w:r>
      <w:r>
        <w:rPr>
          <w:rStyle w:val="16"/>
          <w:rFonts w:hint="eastAsia" w:ascii="仿宋_GB2312" w:hAnsi="楷体" w:eastAsia="仿宋_GB2312"/>
          <w:b w:val="0"/>
          <w:spacing w:val="-4"/>
          <w:sz w:val="28"/>
          <w:szCs w:val="28"/>
        </w:rPr>
        <w:t>个科室是：</w:t>
      </w:r>
      <w:r>
        <w:rPr>
          <w:rStyle w:val="16"/>
          <w:rFonts w:hint="eastAsia" w:ascii="仿宋_GB2312" w:hAnsi="楷体" w:eastAsia="仿宋_GB2312"/>
          <w:b w:val="0"/>
          <w:spacing w:val="-4"/>
          <w:sz w:val="28"/>
          <w:szCs w:val="28"/>
          <w:lang w:eastAsia="zh-CN"/>
        </w:rPr>
        <w:t>党政办公室、党建办公室、经济发展办公室、社会事务办公室、综合执法办公室、综合行政执法队、农村合作经济（统计）发展中心、农业（畜牧业）发展服务中心、村镇规划建设发展中心、综治中心人口和****生殖健康服务站、社会保障（民政）服务中心、文体广电旅游服务中心。</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本部门中，行政单位</w:t>
      </w:r>
      <w:r>
        <w:rPr>
          <w:rStyle w:val="16"/>
          <w:rFonts w:hint="eastAsia" w:ascii="仿宋_GB2312" w:hAnsi="楷体" w:eastAsia="仿宋_GB2312"/>
          <w:b w:val="0"/>
          <w:spacing w:val="-4"/>
          <w:sz w:val="28"/>
          <w:szCs w:val="28"/>
          <w:lang w:val="en-US" w:eastAsia="zh-CN"/>
        </w:rPr>
        <w:t>2</w:t>
      </w:r>
      <w:r>
        <w:rPr>
          <w:rStyle w:val="16"/>
          <w:rFonts w:hint="eastAsia" w:ascii="仿宋_GB2312" w:hAnsi="楷体" w:eastAsia="仿宋_GB2312"/>
          <w:b w:val="0"/>
          <w:spacing w:val="-4"/>
          <w:sz w:val="28"/>
          <w:szCs w:val="28"/>
        </w:rPr>
        <w:t>家，事业单位</w:t>
      </w:r>
      <w:r>
        <w:rPr>
          <w:rStyle w:val="16"/>
          <w:rFonts w:hint="eastAsia" w:ascii="仿宋_GB2312" w:hAnsi="楷体" w:eastAsia="仿宋_GB2312"/>
          <w:b w:val="0"/>
          <w:spacing w:val="-4"/>
          <w:sz w:val="28"/>
          <w:szCs w:val="28"/>
          <w:lang w:val="en-US" w:eastAsia="zh-CN"/>
        </w:rPr>
        <w:t>8</w:t>
      </w:r>
      <w:r>
        <w:rPr>
          <w:rStyle w:val="16"/>
          <w:rFonts w:hint="eastAsia" w:ascii="仿宋_GB2312" w:hAnsi="楷体" w:eastAsia="仿宋_GB2312"/>
          <w:b w:val="0"/>
          <w:spacing w:val="-4"/>
          <w:sz w:val="28"/>
          <w:szCs w:val="28"/>
        </w:rPr>
        <w:t>家，纳入</w:t>
      </w:r>
      <w:r>
        <w:rPr>
          <w:rStyle w:val="16"/>
          <w:rFonts w:hint="eastAsia" w:ascii="仿宋_GB2312" w:hAnsi="楷体" w:eastAsia="仿宋_GB2312"/>
          <w:b w:val="0"/>
          <w:spacing w:val="-4"/>
          <w:sz w:val="28"/>
          <w:szCs w:val="28"/>
          <w:lang w:eastAsia="zh-CN"/>
        </w:rPr>
        <w:t>特克斯县喀拉托海镇人民政府</w:t>
      </w:r>
      <w:r>
        <w:rPr>
          <w:rStyle w:val="16"/>
          <w:rFonts w:hint="eastAsia" w:ascii="仿宋_GB2312" w:hAnsi="楷体" w:eastAsia="仿宋_GB2312"/>
          <w:b w:val="0"/>
          <w:spacing w:val="-4"/>
          <w:sz w:val="28"/>
          <w:szCs w:val="28"/>
          <w:lang w:val="en-US" w:eastAsia="zh-CN"/>
        </w:rPr>
        <w:t>2021</w:t>
      </w:r>
      <w:r>
        <w:rPr>
          <w:rStyle w:val="16"/>
          <w:rFonts w:hint="eastAsia" w:ascii="仿宋_GB2312" w:hAnsi="楷体" w:eastAsia="仿宋_GB2312"/>
          <w:b w:val="0"/>
          <w:spacing w:val="-4"/>
          <w:sz w:val="28"/>
          <w:szCs w:val="28"/>
        </w:rPr>
        <w:t>年部预算编制范围的二级预算单位包括：</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1.特克斯县喀拉托海镇党委委员会</w:t>
      </w:r>
    </w:p>
    <w:p>
      <w:pPr>
        <w:numPr>
          <w:ilvl w:val="0"/>
          <w:numId w:val="0"/>
        </w:num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lang w:val="en-US" w:eastAsia="zh-CN"/>
        </w:rPr>
        <w:t>2.</w:t>
      </w:r>
      <w:r>
        <w:rPr>
          <w:rStyle w:val="16"/>
          <w:rFonts w:hint="eastAsia" w:ascii="仿宋_GB2312" w:hAnsi="楷体" w:eastAsia="仿宋_GB2312"/>
          <w:b w:val="0"/>
          <w:spacing w:val="-4"/>
          <w:sz w:val="28"/>
          <w:szCs w:val="28"/>
          <w:lang w:eastAsia="zh-CN"/>
        </w:rPr>
        <w:t>特克斯县喀拉托海镇农村合作经济（统计）发展中心（特克斯县喀拉托海镇财政所）</w:t>
      </w:r>
    </w:p>
    <w:p>
      <w:pPr>
        <w:numPr>
          <w:ilvl w:val="0"/>
          <w:numId w:val="0"/>
        </w:num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3.</w:t>
      </w: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喀拉托海镇</w:t>
      </w:r>
      <w:r>
        <w:rPr>
          <w:rStyle w:val="16"/>
          <w:rFonts w:hint="eastAsia" w:ascii="仿宋_GB2312" w:hAnsi="楷体" w:eastAsia="仿宋_GB2312"/>
          <w:b w:val="0"/>
          <w:spacing w:val="-4"/>
          <w:sz w:val="28"/>
          <w:szCs w:val="28"/>
        </w:rPr>
        <w:t>人口和</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生殖健康服务站</w:t>
      </w:r>
    </w:p>
    <w:p>
      <w:pPr>
        <w:numPr>
          <w:ilvl w:val="0"/>
          <w:numId w:val="0"/>
        </w:num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4.</w:t>
      </w: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喀拉托海镇</w:t>
      </w:r>
      <w:r>
        <w:rPr>
          <w:rStyle w:val="16"/>
          <w:rFonts w:hint="eastAsia" w:ascii="仿宋_GB2312" w:hAnsi="楷体" w:eastAsia="仿宋_GB2312"/>
          <w:b w:val="0"/>
          <w:spacing w:val="-4"/>
          <w:sz w:val="28"/>
          <w:szCs w:val="28"/>
        </w:rPr>
        <w:t>文体广电旅游服务中心</w:t>
      </w:r>
    </w:p>
    <w:p>
      <w:pPr>
        <w:numPr>
          <w:ilvl w:val="0"/>
          <w:numId w:val="0"/>
        </w:num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5.</w:t>
      </w: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喀拉托海镇</w:t>
      </w:r>
      <w:r>
        <w:rPr>
          <w:rStyle w:val="16"/>
          <w:rFonts w:hint="eastAsia" w:ascii="仿宋_GB2312" w:hAnsi="楷体" w:eastAsia="仿宋_GB2312"/>
          <w:b w:val="0"/>
          <w:spacing w:val="-4"/>
          <w:sz w:val="28"/>
          <w:szCs w:val="28"/>
        </w:rPr>
        <w:t>社会保障（民政）服务中心（特克斯县</w:t>
      </w:r>
      <w:r>
        <w:rPr>
          <w:rStyle w:val="16"/>
          <w:rFonts w:hint="eastAsia" w:ascii="仿宋_GB2312" w:hAnsi="楷体" w:eastAsia="仿宋_GB2312"/>
          <w:b w:val="0"/>
          <w:spacing w:val="-4"/>
          <w:sz w:val="28"/>
          <w:szCs w:val="28"/>
          <w:lang w:eastAsia="zh-CN"/>
        </w:rPr>
        <w:t>喀拉托海镇</w:t>
      </w:r>
      <w:r>
        <w:rPr>
          <w:rStyle w:val="16"/>
          <w:rFonts w:hint="eastAsia" w:ascii="仿宋_GB2312" w:hAnsi="楷体" w:eastAsia="仿宋_GB2312"/>
          <w:b w:val="0"/>
          <w:spacing w:val="-4"/>
          <w:sz w:val="28"/>
          <w:szCs w:val="28"/>
        </w:rPr>
        <w:t>退役军人服务站）</w:t>
      </w:r>
    </w:p>
    <w:p>
      <w:pPr>
        <w:numPr>
          <w:ilvl w:val="0"/>
          <w:numId w:val="0"/>
        </w:num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6.</w:t>
      </w: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喀拉托海镇</w:t>
      </w:r>
      <w:r>
        <w:rPr>
          <w:rStyle w:val="16"/>
          <w:rFonts w:hint="eastAsia" w:ascii="仿宋_GB2312" w:hAnsi="楷体" w:eastAsia="仿宋_GB2312"/>
          <w:b w:val="0"/>
          <w:spacing w:val="-4"/>
          <w:sz w:val="28"/>
          <w:szCs w:val="28"/>
        </w:rPr>
        <w:t>农业（畜牧业）发展服务中心</w:t>
      </w:r>
    </w:p>
    <w:p>
      <w:pPr>
        <w:numPr>
          <w:ilvl w:val="0"/>
          <w:numId w:val="0"/>
        </w:num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7.</w:t>
      </w: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喀拉托海镇</w:t>
      </w:r>
      <w:r>
        <w:rPr>
          <w:rStyle w:val="16"/>
          <w:rFonts w:hint="eastAsia" w:ascii="仿宋_GB2312" w:hAnsi="楷体" w:eastAsia="仿宋_GB2312"/>
          <w:b w:val="0"/>
          <w:spacing w:val="-4"/>
          <w:sz w:val="28"/>
          <w:szCs w:val="28"/>
        </w:rPr>
        <w:t>村镇规划建设发展中心（特克斯县</w:t>
      </w:r>
      <w:r>
        <w:rPr>
          <w:rStyle w:val="16"/>
          <w:rFonts w:hint="eastAsia" w:ascii="仿宋_GB2312" w:hAnsi="楷体" w:eastAsia="仿宋_GB2312"/>
          <w:b w:val="0"/>
          <w:spacing w:val="-4"/>
          <w:sz w:val="28"/>
          <w:szCs w:val="28"/>
          <w:lang w:eastAsia="zh-CN"/>
        </w:rPr>
        <w:t>喀拉托海镇</w:t>
      </w:r>
      <w:r>
        <w:rPr>
          <w:rStyle w:val="16"/>
          <w:rFonts w:hint="eastAsia" w:ascii="仿宋_GB2312" w:hAnsi="楷体" w:eastAsia="仿宋_GB2312"/>
          <w:b w:val="0"/>
          <w:spacing w:val="-4"/>
          <w:sz w:val="28"/>
          <w:szCs w:val="28"/>
        </w:rPr>
        <w:t>生态环境工作站）</w:t>
      </w:r>
    </w:p>
    <w:p>
      <w:pPr>
        <w:numPr>
          <w:ilvl w:val="0"/>
          <w:numId w:val="0"/>
        </w:num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8.</w:t>
      </w: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喀拉托海镇</w:t>
      </w:r>
      <w:r>
        <w:rPr>
          <w:rStyle w:val="16"/>
          <w:rFonts w:hint="eastAsia" w:ascii="仿宋_GB2312" w:hAnsi="楷体" w:eastAsia="仿宋_GB2312"/>
          <w:b w:val="0"/>
          <w:spacing w:val="-4"/>
          <w:sz w:val="28"/>
          <w:szCs w:val="28"/>
        </w:rPr>
        <w:t>综治中心（特克斯县</w:t>
      </w:r>
      <w:r>
        <w:rPr>
          <w:rStyle w:val="16"/>
          <w:rFonts w:hint="eastAsia" w:ascii="仿宋_GB2312" w:hAnsi="楷体" w:eastAsia="仿宋_GB2312"/>
          <w:b w:val="0"/>
          <w:spacing w:val="-4"/>
          <w:sz w:val="28"/>
          <w:szCs w:val="28"/>
          <w:lang w:eastAsia="zh-CN"/>
        </w:rPr>
        <w:t>喀拉托海镇</w:t>
      </w:r>
      <w:r>
        <w:rPr>
          <w:rStyle w:val="16"/>
          <w:rFonts w:hint="eastAsia" w:ascii="仿宋_GB2312" w:hAnsi="楷体" w:eastAsia="仿宋_GB2312"/>
          <w:b w:val="0"/>
          <w:spacing w:val="-4"/>
          <w:sz w:val="28"/>
          <w:szCs w:val="28"/>
        </w:rPr>
        <w:t>网格化服务中心）</w:t>
      </w:r>
    </w:p>
    <w:p>
      <w:pPr>
        <w:numPr>
          <w:ilvl w:val="0"/>
          <w:numId w:val="0"/>
        </w:num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lang w:val="en-US" w:eastAsia="zh-CN"/>
        </w:rPr>
        <w:t>9.</w:t>
      </w:r>
      <w:r>
        <w:rPr>
          <w:rStyle w:val="16"/>
          <w:rFonts w:hint="eastAsia" w:ascii="仿宋_GB2312" w:hAnsi="楷体" w:eastAsia="仿宋_GB2312"/>
          <w:b w:val="0"/>
          <w:spacing w:val="-4"/>
          <w:sz w:val="28"/>
          <w:szCs w:val="28"/>
        </w:rPr>
        <w:t>特克斯县</w:t>
      </w:r>
      <w:r>
        <w:rPr>
          <w:rStyle w:val="16"/>
          <w:rFonts w:hint="eastAsia" w:ascii="仿宋_GB2312" w:hAnsi="楷体" w:eastAsia="仿宋_GB2312"/>
          <w:b w:val="0"/>
          <w:spacing w:val="-4"/>
          <w:sz w:val="28"/>
          <w:szCs w:val="28"/>
          <w:lang w:eastAsia="zh-CN"/>
        </w:rPr>
        <w:t>喀拉托海镇</w:t>
      </w:r>
      <w:r>
        <w:rPr>
          <w:rStyle w:val="16"/>
          <w:rFonts w:hint="eastAsia" w:ascii="仿宋_GB2312" w:hAnsi="楷体" w:eastAsia="仿宋_GB2312"/>
          <w:b w:val="0"/>
          <w:spacing w:val="-4"/>
          <w:sz w:val="28"/>
          <w:szCs w:val="28"/>
        </w:rPr>
        <w:t>综合行政执法队</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（2）2021年</w:t>
      </w:r>
      <w:r>
        <w:rPr>
          <w:rStyle w:val="16"/>
          <w:rFonts w:hint="eastAsia" w:ascii="仿宋_GB2312" w:hAnsi="楷体" w:eastAsia="仿宋_GB2312"/>
          <w:b w:val="0"/>
          <w:spacing w:val="-4"/>
          <w:sz w:val="28"/>
          <w:szCs w:val="28"/>
          <w:lang w:eastAsia="zh-CN"/>
        </w:rPr>
        <w:t>特克斯县喀拉托海镇人民政府</w:t>
      </w:r>
      <w:r>
        <w:rPr>
          <w:rStyle w:val="16"/>
          <w:rFonts w:hint="eastAsia" w:ascii="仿宋_GB2312" w:hAnsi="楷体" w:eastAsia="仿宋_GB2312"/>
          <w:b w:val="0"/>
          <w:spacing w:val="-4"/>
          <w:sz w:val="28"/>
          <w:szCs w:val="28"/>
        </w:rPr>
        <w:t>实有在职人员为</w:t>
      </w:r>
      <w:r>
        <w:rPr>
          <w:rStyle w:val="16"/>
          <w:rFonts w:hint="eastAsia" w:ascii="仿宋_GB2312" w:hAnsi="楷体" w:eastAsia="仿宋_GB2312"/>
          <w:b w:val="0"/>
          <w:spacing w:val="-4"/>
          <w:sz w:val="28"/>
          <w:szCs w:val="28"/>
          <w:lang w:val="en-US" w:eastAsia="zh-CN"/>
        </w:rPr>
        <w:t>139</w:t>
      </w:r>
      <w:r>
        <w:rPr>
          <w:rStyle w:val="16"/>
          <w:rFonts w:hint="eastAsia" w:ascii="仿宋_GB2312" w:hAnsi="楷体" w:eastAsia="仿宋_GB2312"/>
          <w:b w:val="0"/>
          <w:spacing w:val="-4"/>
          <w:sz w:val="28"/>
          <w:szCs w:val="28"/>
        </w:rPr>
        <w:t>人，其中：</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rPr>
        <w:t>行政在职</w:t>
      </w:r>
      <w:r>
        <w:rPr>
          <w:rStyle w:val="16"/>
          <w:rFonts w:hint="eastAsia" w:ascii="仿宋_GB2312" w:hAnsi="楷体" w:eastAsia="仿宋_GB2312"/>
          <w:b w:val="0"/>
          <w:spacing w:val="-4"/>
          <w:sz w:val="28"/>
          <w:szCs w:val="28"/>
          <w:lang w:val="en-US" w:eastAsia="zh-CN"/>
        </w:rPr>
        <w:t>28</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28</w:t>
      </w:r>
      <w:r>
        <w:rPr>
          <w:rStyle w:val="16"/>
          <w:rFonts w:hint="eastAsia" w:ascii="仿宋_GB2312" w:hAnsi="楷体" w:eastAsia="仿宋_GB2312"/>
          <w:b w:val="0"/>
          <w:spacing w:val="-4"/>
          <w:sz w:val="28"/>
          <w:szCs w:val="28"/>
        </w:rPr>
        <w:t>人），</w:t>
      </w:r>
      <w:r>
        <w:rPr>
          <w:rStyle w:val="16"/>
          <w:rFonts w:hint="eastAsia" w:ascii="仿宋_GB2312" w:hAnsi="楷体" w:eastAsia="仿宋_GB2312"/>
          <w:b w:val="0"/>
          <w:spacing w:val="-4"/>
          <w:sz w:val="28"/>
          <w:szCs w:val="28"/>
          <w:lang w:val="en-US" w:eastAsia="zh-CN"/>
        </w:rPr>
        <w:t>与上年一致；</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lang w:val="en-US" w:eastAsia="zh-CN"/>
        </w:rPr>
        <w:t>事业在职111人（上年116人），与上年减少5人；</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实有离休人员</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0人）, 与上年一致；</w:t>
      </w:r>
    </w:p>
    <w:p>
      <w:pPr>
        <w:spacing w:line="360" w:lineRule="auto"/>
        <w:ind w:firstLine="544" w:firstLineChars="200"/>
      </w:pPr>
      <w:r>
        <w:rPr>
          <w:rStyle w:val="16"/>
          <w:rFonts w:hint="eastAsia" w:ascii="仿宋_GB2312" w:hAnsi="楷体" w:eastAsia="仿宋_GB2312"/>
          <w:b w:val="0"/>
          <w:spacing w:val="-4"/>
          <w:sz w:val="28"/>
          <w:szCs w:val="28"/>
        </w:rPr>
        <w:t>实有退休人员</w:t>
      </w:r>
      <w:r>
        <w:rPr>
          <w:rStyle w:val="16"/>
          <w:rFonts w:hint="eastAsia" w:ascii="仿宋_GB2312" w:hAnsi="楷体" w:eastAsia="仿宋_GB2312"/>
          <w:b w:val="0"/>
          <w:spacing w:val="-4"/>
          <w:sz w:val="28"/>
          <w:szCs w:val="28"/>
          <w:lang w:val="en-US" w:eastAsia="zh-CN"/>
        </w:rPr>
        <w:t>68</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66</w:t>
      </w:r>
      <w:r>
        <w:rPr>
          <w:rStyle w:val="16"/>
          <w:rFonts w:hint="eastAsia" w:ascii="仿宋_GB2312" w:hAnsi="楷体" w:eastAsia="仿宋_GB2312"/>
          <w:b w:val="0"/>
          <w:spacing w:val="-4"/>
          <w:sz w:val="28"/>
          <w:szCs w:val="28"/>
        </w:rPr>
        <w:t>人）,</w:t>
      </w:r>
      <w:r>
        <w:rPr>
          <w:rFonts w:hint="eastAsia" w:ascii="仿宋_GB2312" w:hAnsi="楷体" w:eastAsia="仿宋_GB2312"/>
          <w:b/>
          <w:spacing w:val="-4"/>
          <w:sz w:val="28"/>
          <w:szCs w:val="28"/>
        </w:rPr>
        <w:t xml:space="preserve"> </w:t>
      </w:r>
      <w:r>
        <w:rPr>
          <w:rStyle w:val="16"/>
          <w:rFonts w:hint="eastAsia" w:ascii="仿宋_GB2312" w:hAnsi="楷体" w:eastAsia="仿宋_GB2312"/>
          <w:b w:val="0"/>
          <w:spacing w:val="-4"/>
          <w:sz w:val="28"/>
          <w:szCs w:val="28"/>
          <w:lang w:val="en-US" w:eastAsia="zh-CN"/>
        </w:rPr>
        <w:t>同比上年增加2人</w:t>
      </w:r>
      <w:r>
        <w:rPr>
          <w:rStyle w:val="16"/>
          <w:rFonts w:hint="eastAsia" w:ascii="仿宋_GB2312" w:hAnsi="楷体" w:eastAsia="仿宋_GB2312"/>
          <w:b w:val="0"/>
          <w:spacing w:val="-4"/>
          <w:sz w:val="28"/>
          <w:szCs w:val="28"/>
          <w:lang w:eastAsia="zh-CN"/>
        </w:rPr>
        <w:t>。</w:t>
      </w:r>
    </w:p>
    <w:p>
      <w:pPr>
        <w:pStyle w:val="5"/>
        <w:spacing w:line="360" w:lineRule="auto"/>
        <w:ind w:firstLine="562" w:firstLineChars="200"/>
        <w:rPr>
          <w:rStyle w:val="16"/>
          <w:rFonts w:ascii="仿宋" w:hAnsi="仿宋" w:eastAsia="仿宋"/>
          <w:b/>
          <w:bCs/>
        </w:rPr>
      </w:pPr>
      <w:bookmarkStart w:id="4" w:name="_Toc70450293"/>
      <w:r>
        <w:rPr>
          <w:rStyle w:val="16"/>
          <w:rFonts w:ascii="仿宋" w:hAnsi="仿宋" w:eastAsia="仿宋"/>
          <w:b/>
          <w:bCs/>
        </w:rPr>
        <w:t>3</w:t>
      </w:r>
      <w:r>
        <w:rPr>
          <w:rStyle w:val="16"/>
          <w:rFonts w:hint="eastAsia" w:ascii="仿宋" w:hAnsi="仿宋" w:eastAsia="仿宋"/>
          <w:b/>
          <w:bCs/>
        </w:rPr>
        <w:t>、重点工作计划</w:t>
      </w:r>
      <w:bookmarkEnd w:id="4"/>
    </w:p>
    <w:p>
      <w:pPr>
        <w:spacing w:line="360" w:lineRule="auto"/>
        <w:ind w:firstLine="544" w:firstLineChars="200"/>
        <w:rPr>
          <w:rStyle w:val="16"/>
          <w:rFonts w:ascii="仿宋_GB2312" w:hAnsi="楷体" w:eastAsia="仿宋_GB2312"/>
          <w:b w:val="0"/>
          <w:spacing w:val="-4"/>
          <w:sz w:val="28"/>
          <w:szCs w:val="28"/>
        </w:rPr>
      </w:pPr>
      <w:bookmarkStart w:id="5" w:name="_Toc70450294"/>
      <w:r>
        <w:rPr>
          <w:rStyle w:val="16"/>
          <w:rFonts w:ascii="仿宋_GB2312" w:hAnsi="楷体" w:eastAsia="仿宋_GB2312"/>
          <w:b w:val="0"/>
          <w:spacing w:val="-4"/>
          <w:sz w:val="28"/>
          <w:szCs w:val="28"/>
        </w:rPr>
        <w:t>1.认真贯彻落实党的十九届三中、四中、五中全会精神，深入践行党的群众路线，加快生态文明建设步伐，抓好招商引资，人才引进项目开发，不断培育市场体系，组织经济运行，促进经济发展。</w:t>
      </w:r>
    </w:p>
    <w:p>
      <w:pPr>
        <w:spacing w:line="360" w:lineRule="auto"/>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w:t>
      </w:r>
    </w:p>
    <w:p>
      <w:pPr>
        <w:spacing w:line="360" w:lineRule="auto"/>
        <w:ind w:firstLine="544" w:firstLineChars="200"/>
        <w:rPr>
          <w:b/>
          <w:bCs/>
        </w:rPr>
      </w:pPr>
      <w:r>
        <w:rPr>
          <w:rStyle w:val="16"/>
          <w:rFonts w:ascii="仿宋_GB2312" w:hAnsi="楷体" w:eastAsia="仿宋_GB2312"/>
          <w:b w:val="0"/>
          <w:spacing w:val="-4"/>
          <w:sz w:val="28"/>
          <w:szCs w:val="28"/>
        </w:rPr>
        <w:t>3.保证单位财政供养人员基本工资、津贴补贴、艰边补助预算的收支，保证单位工作正常开展和各项任务顺利完成。</w:t>
      </w:r>
    </w:p>
    <w:p>
      <w:pPr>
        <w:pStyle w:val="4"/>
        <w:spacing w:line="360" w:lineRule="auto"/>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6" w:name="_Hlk70339807"/>
      <w:r>
        <w:rPr>
          <w:rStyle w:val="16"/>
          <w:rFonts w:hint="eastAsia" w:ascii="仿宋" w:hAnsi="仿宋" w:eastAsia="仿宋"/>
          <w:b/>
          <w:bCs/>
          <w:sz w:val="28"/>
          <w:szCs w:val="28"/>
        </w:rPr>
        <w:t>使用方法和主要内容、涉及对象及范围等</w:t>
      </w:r>
      <w:bookmarkEnd w:id="5"/>
    </w:p>
    <w:bookmarkEnd w:id="6"/>
    <w:p>
      <w:pPr>
        <w:pStyle w:val="5"/>
        <w:spacing w:line="360" w:lineRule="auto"/>
        <w:ind w:firstLine="562" w:firstLineChars="200"/>
        <w:rPr>
          <w:rStyle w:val="16"/>
          <w:rFonts w:ascii="仿宋" w:hAnsi="仿宋" w:eastAsia="仿宋"/>
          <w:b/>
          <w:bCs/>
        </w:rPr>
      </w:pPr>
      <w:bookmarkStart w:id="7" w:name="_Toc70450295"/>
      <w:r>
        <w:rPr>
          <w:rStyle w:val="16"/>
          <w:rFonts w:hint="eastAsia" w:ascii="仿宋" w:hAnsi="仿宋" w:eastAsia="仿宋"/>
          <w:b/>
          <w:bCs/>
        </w:rPr>
        <w:t>1、部门单位整体支出规模</w:t>
      </w:r>
      <w:bookmarkEnd w:id="7"/>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rPr>
        <w:t>2021年批复我</w:t>
      </w:r>
      <w:r>
        <w:rPr>
          <w:rStyle w:val="16"/>
          <w:rFonts w:hint="eastAsia" w:ascii="仿宋_GB2312" w:hAnsi="楷体" w:eastAsia="仿宋_GB2312"/>
          <w:b w:val="0"/>
          <w:spacing w:val="-4"/>
          <w:sz w:val="28"/>
          <w:szCs w:val="28"/>
          <w:lang w:eastAsia="zh-CN"/>
        </w:rPr>
        <w:t>单位</w:t>
      </w:r>
      <w:r>
        <w:rPr>
          <w:rStyle w:val="16"/>
          <w:rFonts w:hint="eastAsia" w:ascii="仿宋_GB2312" w:hAnsi="楷体" w:eastAsia="仿宋_GB2312"/>
          <w:b w:val="0"/>
          <w:spacing w:val="-4"/>
          <w:sz w:val="28"/>
          <w:szCs w:val="28"/>
        </w:rPr>
        <w:t>预算为</w:t>
      </w:r>
      <w:r>
        <w:rPr>
          <w:rStyle w:val="16"/>
          <w:rFonts w:hint="eastAsia" w:ascii="仿宋_GB2312" w:hAnsi="楷体" w:eastAsia="仿宋_GB2312"/>
          <w:b w:val="0"/>
          <w:spacing w:val="-4"/>
          <w:sz w:val="28"/>
          <w:szCs w:val="28"/>
          <w:lang w:val="en-US" w:eastAsia="zh-CN"/>
        </w:rPr>
        <w:t>5062.58</w:t>
      </w:r>
      <w:r>
        <w:rPr>
          <w:rStyle w:val="16"/>
          <w:rFonts w:hint="eastAsia" w:ascii="仿宋_GB2312" w:hAnsi="楷体" w:eastAsia="仿宋_GB2312"/>
          <w:b w:val="0"/>
          <w:spacing w:val="-4"/>
          <w:sz w:val="28"/>
          <w:szCs w:val="28"/>
        </w:rPr>
        <w:t>万元，其中：财政拨款为</w:t>
      </w:r>
      <w:r>
        <w:rPr>
          <w:rStyle w:val="16"/>
          <w:rFonts w:hint="eastAsia" w:ascii="仿宋_GB2312" w:hAnsi="楷体" w:eastAsia="仿宋_GB2312"/>
          <w:b w:val="0"/>
          <w:spacing w:val="-4"/>
          <w:sz w:val="28"/>
          <w:szCs w:val="28"/>
          <w:lang w:val="en-US" w:eastAsia="zh-CN"/>
        </w:rPr>
        <w:t>5001.83</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val="en-US" w:eastAsia="zh-CN"/>
        </w:rPr>
        <w:t>单位其他资金收入60.75万元。</w:t>
      </w:r>
      <w:r>
        <w:rPr>
          <w:rStyle w:val="16"/>
          <w:rFonts w:hint="eastAsia" w:ascii="仿宋_GB2312" w:hAnsi="楷体" w:eastAsia="仿宋_GB2312"/>
          <w:b w:val="0"/>
          <w:spacing w:val="-4"/>
          <w:sz w:val="28"/>
          <w:szCs w:val="28"/>
        </w:rPr>
        <w:t>年中追加</w:t>
      </w:r>
      <w:r>
        <w:rPr>
          <w:rStyle w:val="16"/>
          <w:rFonts w:hint="eastAsia" w:ascii="仿宋_GB2312" w:hAnsi="楷体" w:eastAsia="仿宋_GB2312"/>
          <w:b w:val="0"/>
          <w:spacing w:val="-4"/>
          <w:sz w:val="28"/>
          <w:szCs w:val="28"/>
          <w:lang w:val="en-US" w:eastAsia="zh-CN"/>
        </w:rPr>
        <w:t>3466.41</w:t>
      </w:r>
      <w:r>
        <w:rPr>
          <w:rStyle w:val="16"/>
          <w:rFonts w:hint="eastAsia" w:ascii="仿宋_GB2312" w:hAnsi="楷体" w:eastAsia="仿宋_GB2312"/>
          <w:b w:val="0"/>
          <w:spacing w:val="-4"/>
          <w:sz w:val="28"/>
          <w:szCs w:val="28"/>
        </w:rPr>
        <w:t>万元，调整率</w:t>
      </w:r>
      <w:r>
        <w:rPr>
          <w:rStyle w:val="16"/>
          <w:rFonts w:hint="eastAsia" w:ascii="仿宋_GB2312" w:hAnsi="楷体" w:eastAsia="仿宋_GB2312"/>
          <w:b w:val="0"/>
          <w:spacing w:val="-4"/>
          <w:sz w:val="28"/>
          <w:szCs w:val="28"/>
          <w:lang w:val="en-US" w:eastAsia="zh-CN"/>
        </w:rPr>
        <w:t>147.87</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highlight w:val="none"/>
        </w:rPr>
        <w:t>对比上年</w:t>
      </w:r>
      <w:r>
        <w:rPr>
          <w:rStyle w:val="16"/>
          <w:rFonts w:hint="eastAsia" w:ascii="仿宋_GB2312" w:hAnsi="楷体" w:eastAsia="仿宋_GB2312"/>
          <w:b w:val="0"/>
          <w:spacing w:val="-4"/>
          <w:sz w:val="28"/>
          <w:szCs w:val="28"/>
          <w:highlight w:val="none"/>
          <w:lang w:val="en-US" w:eastAsia="zh-CN"/>
        </w:rPr>
        <w:t>4307.68</w:t>
      </w:r>
      <w:r>
        <w:rPr>
          <w:rStyle w:val="16"/>
          <w:rFonts w:hint="eastAsia" w:ascii="仿宋_GB2312" w:hAnsi="楷体" w:eastAsia="仿宋_GB2312"/>
          <w:b w:val="0"/>
          <w:spacing w:val="-4"/>
          <w:sz w:val="28"/>
          <w:szCs w:val="28"/>
          <w:highlight w:val="none"/>
        </w:rPr>
        <w:t>万元增加</w:t>
      </w:r>
      <w:r>
        <w:rPr>
          <w:rStyle w:val="16"/>
          <w:rFonts w:hint="eastAsia" w:ascii="仿宋_GB2312" w:hAnsi="楷体" w:eastAsia="仿宋_GB2312"/>
          <w:b w:val="0"/>
          <w:spacing w:val="-4"/>
          <w:sz w:val="28"/>
          <w:szCs w:val="28"/>
          <w:highlight w:val="none"/>
          <w:lang w:val="en-US" w:eastAsia="zh-CN"/>
        </w:rPr>
        <w:t>754.9</w:t>
      </w:r>
      <w:r>
        <w:rPr>
          <w:rStyle w:val="16"/>
          <w:rFonts w:hint="eastAsia" w:ascii="仿宋_GB2312" w:hAnsi="楷体" w:eastAsia="仿宋_GB2312"/>
          <w:b w:val="0"/>
          <w:spacing w:val="-4"/>
          <w:sz w:val="28"/>
          <w:szCs w:val="28"/>
          <w:highlight w:val="none"/>
        </w:rPr>
        <w:t>万元，上升</w:t>
      </w:r>
      <w:r>
        <w:rPr>
          <w:rStyle w:val="16"/>
          <w:rFonts w:hint="eastAsia" w:ascii="仿宋_GB2312" w:hAnsi="楷体" w:eastAsia="仿宋_GB2312"/>
          <w:b w:val="0"/>
          <w:spacing w:val="-4"/>
          <w:sz w:val="28"/>
          <w:szCs w:val="28"/>
          <w:highlight w:val="none"/>
          <w:lang w:val="en-US" w:eastAsia="zh-CN"/>
        </w:rPr>
        <w:t>17.52</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hint="eastAsia" w:ascii="仿宋_GB2312" w:hAnsi="楷体" w:eastAsia="仿宋_GB2312"/>
          <w:b w:val="0"/>
          <w:spacing w:val="-4"/>
          <w:sz w:val="28"/>
          <w:szCs w:val="28"/>
          <w:lang w:val="en-US" w:eastAsia="zh-CN"/>
        </w:rPr>
        <w:t>5062.58</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（1）基本支出</w:t>
      </w:r>
      <w:r>
        <w:rPr>
          <w:rStyle w:val="16"/>
          <w:rFonts w:hint="eastAsia" w:ascii="仿宋_GB2312" w:hAnsi="楷体" w:eastAsia="仿宋_GB2312"/>
          <w:b w:val="0"/>
          <w:spacing w:val="-4"/>
          <w:sz w:val="28"/>
          <w:szCs w:val="28"/>
          <w:lang w:val="en-US" w:eastAsia="zh-CN"/>
        </w:rPr>
        <w:t>3007.84</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59.41</w:t>
      </w:r>
      <w:r>
        <w:rPr>
          <w:rStyle w:val="16"/>
          <w:rFonts w:hint="eastAsia" w:ascii="仿宋_GB2312" w:hAnsi="楷体" w:eastAsia="仿宋_GB2312"/>
          <w:b w:val="0"/>
          <w:spacing w:val="-4"/>
          <w:sz w:val="28"/>
          <w:szCs w:val="28"/>
        </w:rPr>
        <w:t>％，主要用于本</w:t>
      </w:r>
      <w:r>
        <w:rPr>
          <w:rStyle w:val="16"/>
          <w:rFonts w:hint="eastAsia" w:ascii="仿宋_GB2312" w:hAnsi="楷体" w:eastAsia="仿宋_GB2312"/>
          <w:b w:val="0"/>
          <w:spacing w:val="-4"/>
          <w:sz w:val="28"/>
          <w:szCs w:val="28"/>
          <w:lang w:eastAsia="zh-CN"/>
        </w:rPr>
        <w:t>单位</w:t>
      </w:r>
      <w:r>
        <w:rPr>
          <w:rStyle w:val="16"/>
          <w:rFonts w:hint="eastAsia" w:ascii="仿宋_GB2312" w:hAnsi="楷体" w:eastAsia="仿宋_GB2312"/>
          <w:b w:val="0"/>
          <w:spacing w:val="-4"/>
          <w:sz w:val="28"/>
          <w:szCs w:val="28"/>
        </w:rPr>
        <w:t>机构正常运转、完成日常工作任务而发生的各项支出。其中：工资福利支出</w:t>
      </w:r>
      <w:r>
        <w:rPr>
          <w:rStyle w:val="16"/>
          <w:rFonts w:hint="eastAsia" w:ascii="仿宋_GB2312" w:hAnsi="楷体" w:eastAsia="仿宋_GB2312"/>
          <w:b w:val="0"/>
          <w:spacing w:val="-4"/>
          <w:sz w:val="28"/>
          <w:szCs w:val="28"/>
          <w:lang w:val="en-US" w:eastAsia="zh-CN"/>
        </w:rPr>
        <w:t>2145.65</w:t>
      </w:r>
      <w:r>
        <w:rPr>
          <w:rStyle w:val="16"/>
          <w:rFonts w:hint="eastAsia" w:ascii="仿宋_GB2312" w:hAnsi="楷体" w:eastAsia="仿宋_GB2312"/>
          <w:b w:val="0"/>
          <w:spacing w:val="-4"/>
          <w:sz w:val="28"/>
          <w:szCs w:val="28"/>
        </w:rPr>
        <w:t>万元，主要用于在职和离退休人员基本工资、津贴补贴等人员经费。商品和服务支出</w:t>
      </w:r>
      <w:r>
        <w:rPr>
          <w:rStyle w:val="16"/>
          <w:rFonts w:hint="eastAsia" w:ascii="仿宋_GB2312" w:hAnsi="楷体" w:eastAsia="仿宋_GB2312"/>
          <w:b w:val="0"/>
          <w:spacing w:val="-4"/>
          <w:sz w:val="28"/>
          <w:szCs w:val="28"/>
          <w:lang w:val="en-US" w:eastAsia="zh-CN"/>
        </w:rPr>
        <w:t>364.18</w:t>
      </w:r>
      <w:r>
        <w:rPr>
          <w:rStyle w:val="16"/>
          <w:rFonts w:hint="eastAsia" w:ascii="仿宋_GB2312" w:hAnsi="楷体" w:eastAsia="仿宋_GB2312"/>
          <w:b w:val="0"/>
          <w:spacing w:val="-4"/>
          <w:sz w:val="28"/>
          <w:szCs w:val="28"/>
        </w:rPr>
        <w:t>万元，主要用于办公费、印刷费、水电费、办公设备购置等。对个人和家庭的补助</w:t>
      </w:r>
      <w:r>
        <w:rPr>
          <w:rStyle w:val="16"/>
          <w:rFonts w:hint="eastAsia" w:ascii="仿宋_GB2312" w:hAnsi="楷体" w:eastAsia="仿宋_GB2312"/>
          <w:b w:val="0"/>
          <w:spacing w:val="-4"/>
          <w:sz w:val="28"/>
          <w:szCs w:val="28"/>
          <w:lang w:val="en-US" w:eastAsia="zh-CN"/>
        </w:rPr>
        <w:t>498.01</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eastAsia="zh-CN"/>
        </w:rPr>
        <w:t>三来四类人员补助，双联户补助，境外人员补助等</w:t>
      </w:r>
      <w:r>
        <w:rPr>
          <w:rStyle w:val="16"/>
          <w:rFonts w:hint="eastAsia" w:ascii="仿宋_GB2312" w:hAnsi="楷体" w:eastAsia="仿宋_GB2312"/>
          <w:b w:val="0"/>
          <w:spacing w:val="-4"/>
          <w:sz w:val="28"/>
          <w:szCs w:val="28"/>
        </w:rPr>
        <w:t>。资本性支出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eastAsia="zh-CN"/>
        </w:rPr>
        <w:t>无</w:t>
      </w:r>
      <w:r>
        <w:rPr>
          <w:rStyle w:val="16"/>
          <w:rFonts w:hint="eastAsia" w:ascii="仿宋_GB2312" w:hAnsi="楷体" w:eastAsia="仿宋_GB2312"/>
          <w:b w:val="0"/>
          <w:spacing w:val="-4"/>
          <w:sz w:val="28"/>
          <w:szCs w:val="28"/>
        </w:rPr>
        <w:t xml:space="preserve">。 </w:t>
      </w:r>
      <w:r>
        <w:rPr>
          <w:rStyle w:val="16"/>
          <w:rFonts w:ascii="仿宋_GB2312" w:hAnsi="楷体" w:eastAsia="仿宋_GB2312"/>
          <w:b w:val="0"/>
          <w:spacing w:val="-4"/>
          <w:sz w:val="28"/>
          <w:szCs w:val="28"/>
        </w:rPr>
        <w:t xml:space="preserve"> </w:t>
      </w:r>
    </w:p>
    <w:p>
      <w:pPr>
        <w:spacing w:line="360" w:lineRule="auto"/>
        <w:ind w:firstLine="544" w:firstLineChars="200"/>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2054.74</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40.59</w:t>
      </w:r>
      <w:r>
        <w:rPr>
          <w:rStyle w:val="16"/>
          <w:rFonts w:hint="eastAsia" w:ascii="仿宋_GB2312" w:hAnsi="楷体" w:eastAsia="仿宋_GB2312"/>
          <w:b w:val="0"/>
          <w:spacing w:val="-4"/>
          <w:sz w:val="28"/>
          <w:szCs w:val="28"/>
        </w:rPr>
        <w:t>％。其中：喀拉托海镇足球场建设项目(伊州财建[2019]75号公共体育普及工程中央基建投资）项目安排</w:t>
      </w:r>
      <w:r>
        <w:rPr>
          <w:rStyle w:val="16"/>
          <w:rFonts w:hint="eastAsia" w:ascii="仿宋_GB2312" w:hAnsi="楷体" w:eastAsia="仿宋_GB2312"/>
          <w:b w:val="0"/>
          <w:spacing w:val="-4"/>
          <w:sz w:val="28"/>
          <w:szCs w:val="28"/>
          <w:lang w:val="en-US" w:eastAsia="zh-CN"/>
        </w:rPr>
        <w:t>7.60</w:t>
      </w:r>
      <w:r>
        <w:rPr>
          <w:rStyle w:val="16"/>
          <w:rFonts w:hint="eastAsia" w:ascii="仿宋_GB2312" w:hAnsi="楷体" w:eastAsia="仿宋_GB2312"/>
          <w:b w:val="0"/>
          <w:spacing w:val="-4"/>
          <w:sz w:val="28"/>
          <w:szCs w:val="28"/>
        </w:rPr>
        <w:t>万元，主要用于完成</w:t>
      </w:r>
      <w:r>
        <w:rPr>
          <w:rStyle w:val="16"/>
          <w:rFonts w:hint="eastAsia" w:ascii="仿宋_GB2312" w:hAnsi="楷体" w:eastAsia="仿宋_GB2312"/>
          <w:b w:val="0"/>
          <w:spacing w:val="-4"/>
          <w:sz w:val="28"/>
          <w:szCs w:val="28"/>
          <w:lang w:eastAsia="zh-CN"/>
        </w:rPr>
        <w:t>体育文化活动；</w:t>
      </w:r>
      <w:r>
        <w:rPr>
          <w:rStyle w:val="16"/>
          <w:rFonts w:hint="eastAsia" w:ascii="仿宋_GB2312" w:hAnsi="楷体" w:eastAsia="仿宋_GB2312"/>
          <w:b w:val="0"/>
          <w:spacing w:val="-4"/>
          <w:sz w:val="28"/>
          <w:szCs w:val="28"/>
        </w:rPr>
        <w:t>伊州财农[2019]122号,新财扶[2019]43号喀拉托海镇拱棚建设项目项目安排</w:t>
      </w:r>
      <w:r>
        <w:rPr>
          <w:rStyle w:val="16"/>
          <w:rFonts w:ascii="仿宋_GB2312" w:hAnsi="楷体" w:eastAsia="仿宋_GB2312"/>
          <w:b w:val="0"/>
          <w:spacing w:val="-4"/>
          <w:sz w:val="28"/>
          <w:szCs w:val="28"/>
        </w:rPr>
        <w:t xml:space="preserve">    </w:t>
      </w:r>
      <w:r>
        <w:rPr>
          <w:rStyle w:val="16"/>
          <w:rFonts w:hint="eastAsia" w:ascii="仿宋_GB2312" w:hAnsi="楷体" w:eastAsia="仿宋_GB2312"/>
          <w:b w:val="0"/>
          <w:spacing w:val="-4"/>
          <w:sz w:val="28"/>
          <w:szCs w:val="28"/>
          <w:lang w:val="en-US" w:eastAsia="zh-CN"/>
        </w:rPr>
        <w:t>14.65</w:t>
      </w:r>
      <w:r>
        <w:rPr>
          <w:rStyle w:val="16"/>
          <w:rFonts w:hint="eastAsia" w:ascii="仿宋_GB2312" w:hAnsi="楷体" w:eastAsia="仿宋_GB2312"/>
          <w:b w:val="0"/>
          <w:spacing w:val="-4"/>
          <w:sz w:val="28"/>
          <w:szCs w:val="28"/>
        </w:rPr>
        <w:t>万元，主要用于完成</w:t>
      </w:r>
      <w:r>
        <w:rPr>
          <w:rStyle w:val="16"/>
          <w:rFonts w:hint="eastAsia" w:ascii="仿宋_GB2312" w:hAnsi="楷体" w:eastAsia="仿宋_GB2312"/>
          <w:b w:val="0"/>
          <w:spacing w:val="-4"/>
          <w:sz w:val="28"/>
          <w:szCs w:val="28"/>
          <w:lang w:eastAsia="zh-CN"/>
        </w:rPr>
        <w:t>发展食用菌，增加收入；特</w:t>
      </w:r>
      <w:r>
        <w:rPr>
          <w:rStyle w:val="16"/>
          <w:rFonts w:hint="eastAsia" w:ascii="仿宋_GB2312" w:hAnsi="楷体" w:eastAsia="仿宋_GB2312"/>
          <w:b w:val="0"/>
          <w:spacing w:val="-4"/>
          <w:sz w:val="28"/>
          <w:szCs w:val="28"/>
        </w:rPr>
        <w:t>克斯县喀拉托海镇也什克勒克村人居环境基础设施建设项</w:t>
      </w:r>
      <w:r>
        <w:rPr>
          <w:rStyle w:val="16"/>
          <w:rFonts w:hint="eastAsia" w:ascii="仿宋_GB2312" w:hAnsi="楷体" w:eastAsia="仿宋_GB2312"/>
          <w:b w:val="0"/>
          <w:spacing w:val="-4"/>
          <w:sz w:val="28"/>
          <w:szCs w:val="28"/>
          <w:lang w:eastAsia="zh-CN"/>
        </w:rPr>
        <w:t>安排</w:t>
      </w:r>
      <w:r>
        <w:rPr>
          <w:rStyle w:val="16"/>
          <w:rFonts w:hint="eastAsia" w:ascii="仿宋_GB2312" w:hAnsi="楷体" w:eastAsia="仿宋_GB2312"/>
          <w:b w:val="0"/>
          <w:spacing w:val="-4"/>
          <w:sz w:val="28"/>
          <w:szCs w:val="28"/>
          <w:lang w:val="en-US" w:eastAsia="zh-CN"/>
        </w:rPr>
        <w:t>600万元，</w:t>
      </w:r>
      <w:r>
        <w:rPr>
          <w:rStyle w:val="16"/>
          <w:rFonts w:hint="eastAsia" w:ascii="仿宋_GB2312" w:hAnsi="楷体" w:eastAsia="仿宋_GB2312"/>
          <w:b w:val="0"/>
          <w:spacing w:val="-4"/>
          <w:sz w:val="28"/>
          <w:szCs w:val="28"/>
        </w:rPr>
        <w:t>主要用于完成</w:t>
      </w:r>
      <w:r>
        <w:rPr>
          <w:rStyle w:val="16"/>
          <w:rFonts w:hint="eastAsia" w:ascii="仿宋_GB2312" w:hAnsi="楷体" w:eastAsia="仿宋_GB2312"/>
          <w:b w:val="0"/>
          <w:spacing w:val="-4"/>
          <w:sz w:val="28"/>
          <w:szCs w:val="28"/>
          <w:lang w:eastAsia="zh-CN"/>
        </w:rPr>
        <w:t>改善人居环境；</w:t>
      </w:r>
      <w:r>
        <w:rPr>
          <w:rStyle w:val="16"/>
          <w:rFonts w:hint="eastAsia" w:ascii="仿宋_GB2312" w:hAnsi="楷体" w:eastAsia="仿宋_GB2312"/>
          <w:b w:val="0"/>
          <w:spacing w:val="-4"/>
          <w:sz w:val="28"/>
          <w:szCs w:val="28"/>
        </w:rPr>
        <w:t>特克斯县喀拉托海镇喀拉托海村、阿克卓勒村农村人居环境整治建设项目</w:t>
      </w:r>
      <w:r>
        <w:rPr>
          <w:rStyle w:val="16"/>
          <w:rFonts w:hint="eastAsia" w:ascii="仿宋_GB2312" w:hAnsi="楷体" w:eastAsia="仿宋_GB2312"/>
          <w:b w:val="0"/>
          <w:spacing w:val="-4"/>
          <w:sz w:val="28"/>
          <w:szCs w:val="28"/>
          <w:lang w:eastAsia="zh-CN"/>
        </w:rPr>
        <w:t>安排</w:t>
      </w:r>
      <w:r>
        <w:rPr>
          <w:rStyle w:val="16"/>
          <w:rFonts w:hint="eastAsia" w:ascii="仿宋_GB2312" w:hAnsi="楷体" w:eastAsia="仿宋_GB2312"/>
          <w:b w:val="0"/>
          <w:spacing w:val="-4"/>
          <w:sz w:val="28"/>
          <w:szCs w:val="28"/>
          <w:lang w:val="en-US" w:eastAsia="zh-CN"/>
        </w:rPr>
        <w:t>500万元，主要用于完成</w:t>
      </w:r>
      <w:r>
        <w:rPr>
          <w:rStyle w:val="16"/>
          <w:rFonts w:hint="eastAsia" w:ascii="仿宋_GB2312" w:hAnsi="楷体" w:eastAsia="仿宋_GB2312"/>
          <w:b w:val="0"/>
          <w:spacing w:val="-4"/>
          <w:sz w:val="28"/>
          <w:szCs w:val="28"/>
          <w:lang w:eastAsia="zh-CN"/>
        </w:rPr>
        <w:t>改善人居环境；</w:t>
      </w:r>
      <w:r>
        <w:rPr>
          <w:rStyle w:val="16"/>
          <w:rFonts w:hint="eastAsia" w:ascii="仿宋_GB2312" w:hAnsi="楷体" w:eastAsia="仿宋_GB2312"/>
          <w:b w:val="0"/>
          <w:spacing w:val="-4"/>
          <w:sz w:val="28"/>
          <w:szCs w:val="28"/>
          <w:lang w:val="en-US" w:eastAsia="zh-CN"/>
        </w:rPr>
        <w:t>2021年中央提前告知财政专项扶贫资金（暂定名）预算（柯尔干布拉克村旅游发展建设项目）安排430.12万元，主要用于完成发展旅游，增加旅游收入；喀拉托海镇阿克托海村活畜交易市场建设项目100万元，主要用于完成建设活畜交易市场；2021年中央提前告知财政专项扶贫资金（暂定名）预算（阿克托海村光伏发电项目）50万元，主要用于完成增加村集体收入；喀拉托海镇柯尔干布拉克村改善人居环境基础设施建设项目99.65万元，主要用于完成改善人居环境；喀拉托海镇也什可立克村改善人居环境基础设施建设项目149.13万元，主要用于改善人居环境基础设施；喀拉托海镇也什可立克村富民市场及合作社绿化美化项目15万元，主要用于建设富民市场，增加村民收入；喀拉托海镇喀拉托海村停车场及村内绿化美化项目安排15万元，主要用于建设停车场；特克斯县喀拉托海镇音加尔村壮大村集体经济项目安排31万元，主要用于完成壮大村集体收入；特克斯县喀拉托海镇喀拉托海村卫生治理建设项目安排42.60万元，主要用于完成卫生治理建设。</w:t>
      </w:r>
    </w:p>
    <w:p>
      <w:pPr>
        <w:spacing w:line="360" w:lineRule="auto"/>
        <w:ind w:firstLine="544" w:firstLineChars="200"/>
        <w:rPr>
          <w:rStyle w:val="16"/>
          <w:rFonts w:hint="eastAsia" w:ascii="仿宋_GB2312" w:hAnsi="楷体" w:eastAsia="仿宋_GB2312"/>
          <w:b w:val="0"/>
          <w:spacing w:val="-4"/>
          <w:sz w:val="28"/>
          <w:szCs w:val="28"/>
        </w:rPr>
      </w:pPr>
      <w:bookmarkStart w:id="8" w:name="_Toc70450296"/>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3</w:t>
      </w:r>
      <w:r>
        <w:rPr>
          <w:rStyle w:val="16"/>
          <w:rFonts w:hint="eastAsia" w:ascii="仿宋_GB2312" w:hAnsi="楷体" w:eastAsia="仿宋_GB2312"/>
          <w:b w:val="0"/>
          <w:spacing w:val="-4"/>
          <w:sz w:val="28"/>
          <w:szCs w:val="28"/>
        </w:rPr>
        <w:t>）本年度重点项目支出</w:t>
      </w:r>
      <w:r>
        <w:rPr>
          <w:rStyle w:val="16"/>
          <w:rFonts w:hint="eastAsia" w:ascii="仿宋_GB2312" w:hAnsi="楷体" w:eastAsia="仿宋_GB2312"/>
          <w:b w:val="0"/>
          <w:spacing w:val="-4"/>
          <w:sz w:val="28"/>
          <w:szCs w:val="28"/>
          <w:lang w:val="en-US" w:eastAsia="zh-CN"/>
        </w:rPr>
        <w:t>600</w:t>
      </w:r>
      <w:r>
        <w:rPr>
          <w:rStyle w:val="16"/>
          <w:rFonts w:hint="eastAsia" w:ascii="仿宋_GB2312" w:hAnsi="楷体" w:eastAsia="仿宋_GB2312"/>
          <w:b w:val="0"/>
          <w:spacing w:val="-4"/>
          <w:sz w:val="28"/>
          <w:szCs w:val="28"/>
        </w:rPr>
        <w:t>万元，重点支出保障率</w:t>
      </w:r>
      <w:r>
        <w:rPr>
          <w:rStyle w:val="16"/>
          <w:rFonts w:hint="eastAsia" w:ascii="仿宋_GB2312" w:hAnsi="楷体" w:eastAsia="仿宋_GB2312"/>
          <w:b w:val="0"/>
          <w:spacing w:val="-4"/>
          <w:sz w:val="28"/>
          <w:szCs w:val="28"/>
          <w:lang w:val="en-US" w:eastAsia="zh-CN"/>
        </w:rPr>
        <w:t>29.20</w:t>
      </w:r>
      <w:r>
        <w:rPr>
          <w:rStyle w:val="16"/>
          <w:rFonts w:hint="eastAsia" w:ascii="仿宋_GB2312" w:hAnsi="楷体" w:eastAsia="仿宋_GB2312"/>
          <w:b w:val="0"/>
          <w:spacing w:val="-4"/>
          <w:sz w:val="28"/>
          <w:szCs w:val="28"/>
        </w:rPr>
        <w:t>%。其中重点保障项目是</w:t>
      </w:r>
      <w:r>
        <w:rPr>
          <w:rStyle w:val="16"/>
          <w:rFonts w:hint="eastAsia" w:ascii="仿宋_GB2312" w:hAnsi="楷体" w:eastAsia="仿宋_GB2312"/>
          <w:b w:val="0"/>
          <w:spacing w:val="-4"/>
          <w:sz w:val="28"/>
          <w:szCs w:val="28"/>
          <w:lang w:eastAsia="zh-CN"/>
        </w:rPr>
        <w:t>：特</w:t>
      </w:r>
      <w:r>
        <w:rPr>
          <w:rStyle w:val="16"/>
          <w:rFonts w:hint="eastAsia" w:ascii="仿宋_GB2312" w:hAnsi="楷体" w:eastAsia="仿宋_GB2312"/>
          <w:b w:val="0"/>
          <w:spacing w:val="-4"/>
          <w:sz w:val="28"/>
          <w:szCs w:val="28"/>
        </w:rPr>
        <w:t>克斯县喀拉托海镇也什克勒克村人居环境基础设施建设项</w:t>
      </w:r>
      <w:r>
        <w:rPr>
          <w:rStyle w:val="16"/>
          <w:rFonts w:hint="eastAsia" w:ascii="仿宋_GB2312" w:hAnsi="楷体" w:eastAsia="仿宋_GB2312"/>
          <w:b w:val="0"/>
          <w:spacing w:val="-4"/>
          <w:sz w:val="28"/>
          <w:szCs w:val="28"/>
          <w:lang w:eastAsia="zh-CN"/>
        </w:rPr>
        <w:t>安排</w:t>
      </w:r>
      <w:r>
        <w:rPr>
          <w:rStyle w:val="16"/>
          <w:rFonts w:hint="eastAsia" w:ascii="仿宋_GB2312" w:hAnsi="楷体" w:eastAsia="仿宋_GB2312"/>
          <w:b w:val="0"/>
          <w:spacing w:val="-4"/>
          <w:sz w:val="28"/>
          <w:szCs w:val="28"/>
          <w:lang w:val="en-US" w:eastAsia="zh-CN"/>
        </w:rPr>
        <w:t>，</w:t>
      </w:r>
      <w:r>
        <w:rPr>
          <w:rStyle w:val="16"/>
          <w:rFonts w:hint="eastAsia" w:ascii="仿宋_GB2312" w:hAnsi="楷体" w:eastAsia="仿宋_GB2312"/>
          <w:b w:val="0"/>
          <w:spacing w:val="-4"/>
          <w:sz w:val="28"/>
          <w:szCs w:val="28"/>
        </w:rPr>
        <w:t>主要用于完成</w:t>
      </w:r>
      <w:r>
        <w:rPr>
          <w:rStyle w:val="16"/>
          <w:rFonts w:hint="eastAsia" w:ascii="仿宋_GB2312" w:hAnsi="楷体" w:eastAsia="仿宋_GB2312"/>
          <w:b w:val="0"/>
          <w:spacing w:val="-4"/>
          <w:sz w:val="28"/>
          <w:szCs w:val="28"/>
          <w:lang w:eastAsia="zh-CN"/>
        </w:rPr>
        <w:t>改善人居环境</w:t>
      </w:r>
      <w:r>
        <w:rPr>
          <w:rStyle w:val="16"/>
          <w:rFonts w:hint="eastAsia" w:ascii="仿宋_GB2312" w:hAnsi="楷体" w:eastAsia="仿宋_GB2312"/>
          <w:b w:val="0"/>
          <w:spacing w:val="-4"/>
          <w:sz w:val="28"/>
          <w:szCs w:val="28"/>
        </w:rPr>
        <w:t>。</w:t>
      </w:r>
    </w:p>
    <w:p>
      <w:pPr>
        <w:spacing w:line="360" w:lineRule="auto"/>
        <w:ind w:firstLine="544" w:firstLineChars="200"/>
        <w:rPr>
          <w:rStyle w:val="16"/>
          <w:rFonts w:hint="eastAsia" w:ascii="仿宋_GB2312" w:hAnsi="楷体" w:eastAsia="仿宋_GB2312"/>
          <w:b w:val="0"/>
          <w:spacing w:val="-4"/>
          <w:sz w:val="32"/>
          <w:szCs w:val="32"/>
          <w:lang w:eastAsia="zh-CN"/>
        </w:rPr>
      </w:pPr>
      <w:r>
        <w:rPr>
          <w:rStyle w:val="16"/>
          <w:rFonts w:hint="eastAsia" w:ascii="仿宋_GB2312" w:hAnsi="楷体" w:eastAsia="仿宋_GB2312"/>
          <w:b w:val="0"/>
          <w:spacing w:val="-4"/>
          <w:sz w:val="28"/>
          <w:szCs w:val="28"/>
        </w:rPr>
        <w:t>（4）本年度我单位无政府采购预算</w:t>
      </w:r>
      <w:r>
        <w:rPr>
          <w:rStyle w:val="16"/>
          <w:rFonts w:hint="eastAsia" w:ascii="仿宋_GB2312" w:hAnsi="楷体" w:eastAsia="仿宋_GB2312"/>
          <w:b w:val="0"/>
          <w:spacing w:val="-4"/>
          <w:sz w:val="28"/>
          <w:szCs w:val="28"/>
          <w:lang w:eastAsia="zh-CN"/>
        </w:rPr>
        <w:t>。</w:t>
      </w:r>
    </w:p>
    <w:p>
      <w:pPr>
        <w:pStyle w:val="5"/>
        <w:spacing w:line="360" w:lineRule="auto"/>
        <w:ind w:firstLine="562" w:firstLineChars="200"/>
        <w:rPr>
          <w:rStyle w:val="16"/>
          <w:rFonts w:ascii="仿宋" w:hAnsi="仿宋" w:eastAsia="仿宋"/>
          <w:b/>
          <w:bCs/>
        </w:rPr>
      </w:pPr>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8"/>
    </w:p>
    <w:p>
      <w:pPr>
        <w:spacing w:line="360" w:lineRule="auto"/>
        <w:ind w:firstLine="560" w:firstLineChars="200"/>
        <w:rPr>
          <w:rStyle w:val="16"/>
          <w:rFonts w:hint="eastAsia" w:ascii="仿宋_GB2312" w:eastAsia="仿宋_GB2312"/>
          <w:b w:val="0"/>
          <w:bCs w:val="0"/>
          <w:sz w:val="28"/>
          <w:szCs w:val="36"/>
        </w:rPr>
      </w:pPr>
      <w:r>
        <w:rPr>
          <w:rStyle w:val="16"/>
          <w:rFonts w:hint="eastAsia" w:ascii="仿宋_GB2312" w:eastAsia="仿宋_GB2312"/>
          <w:b w:val="0"/>
          <w:bCs w:val="0"/>
          <w:sz w:val="28"/>
          <w:szCs w:val="36"/>
        </w:rPr>
        <w:t>（1）整体支出评价使用方法</w:t>
      </w:r>
    </w:p>
    <w:p>
      <w:pPr>
        <w:spacing w:line="360" w:lineRule="auto"/>
        <w:ind w:firstLine="560" w:firstLineChars="200"/>
        <w:rPr>
          <w:rStyle w:val="16"/>
          <w:rFonts w:hint="eastAsia" w:ascii="仿宋_GB2312" w:eastAsia="仿宋_GB2312"/>
          <w:b w:val="0"/>
          <w:bCs w:val="0"/>
          <w:color w:val="000000" w:themeColor="text1"/>
          <w:sz w:val="28"/>
          <w:szCs w:val="36"/>
          <w:highlight w:val="none"/>
          <w:lang w:eastAsia="zh-CN"/>
          <w14:textFill>
            <w14:solidFill>
              <w14:schemeClr w14:val="tx1"/>
            </w14:solidFill>
          </w14:textFill>
        </w:rPr>
      </w:pPr>
      <w:r>
        <w:rPr>
          <w:rStyle w:val="16"/>
          <w:rFonts w:hint="eastAsia" w:ascii="仿宋_GB2312" w:eastAsia="仿宋_GB2312"/>
          <w:b w:val="0"/>
          <w:bCs w:val="0"/>
          <w:color w:val="000000" w:themeColor="text1"/>
          <w:sz w:val="28"/>
          <w:szCs w:val="36"/>
          <w:highlight w:val="none"/>
          <w14:textFill>
            <w14:solidFill>
              <w14:schemeClr w14:val="tx1"/>
            </w14:solidFill>
          </w14:textFill>
        </w:rPr>
        <w:t>本次单位整体支出绩效自评采用</w:t>
      </w:r>
      <w:r>
        <w:rPr>
          <w:rStyle w:val="16"/>
          <w:rFonts w:hint="eastAsia" w:ascii="仿宋_GB2312" w:eastAsia="仿宋_GB2312"/>
          <w:b w:val="0"/>
          <w:bCs w:val="0"/>
          <w:color w:val="000000" w:themeColor="text1"/>
          <w:sz w:val="28"/>
          <w:szCs w:val="36"/>
          <w:highlight w:val="none"/>
          <w:lang w:eastAsia="zh-CN"/>
          <w14:textFill>
            <w14:solidFill>
              <w14:schemeClr w14:val="tx1"/>
            </w14:solidFill>
          </w14:textFill>
        </w:rPr>
        <w:t>综合支出评价</w:t>
      </w:r>
      <w:r>
        <w:rPr>
          <w:rStyle w:val="16"/>
          <w:rFonts w:hint="eastAsia" w:ascii="仿宋_GB2312" w:eastAsia="仿宋_GB2312"/>
          <w:b w:val="0"/>
          <w:bCs w:val="0"/>
          <w:color w:val="000000" w:themeColor="text1"/>
          <w:sz w:val="28"/>
          <w:szCs w:val="36"/>
          <w:highlight w:val="none"/>
          <w14:textFill>
            <w14:solidFill>
              <w14:schemeClr w14:val="tx1"/>
            </w14:solidFill>
          </w14:textFill>
        </w:rPr>
        <w:t>方法，原因是：</w:t>
      </w:r>
      <w:r>
        <w:rPr>
          <w:rStyle w:val="16"/>
          <w:rFonts w:hint="eastAsia" w:ascii="仿宋_GB2312" w:eastAsia="仿宋_GB2312"/>
          <w:b w:val="0"/>
          <w:bCs w:val="0"/>
          <w:color w:val="000000" w:themeColor="text1"/>
          <w:sz w:val="28"/>
          <w:szCs w:val="36"/>
          <w:highlight w:val="none"/>
          <w:lang w:eastAsia="zh-CN"/>
          <w14:textFill>
            <w14:solidFill>
              <w14:schemeClr w14:val="tx1"/>
            </w14:solidFill>
          </w14:textFill>
        </w:rPr>
        <w:t>综合支出评价法是我国目前绩效评价使用量最多的方法，我国政府部门和地方政府大多采用这种方法，可以把各项绩效指标的实际水平，对照评价标准值，分别计算各项指标评价得分，再按照设定的各项指标权数计算出综合评价得分，准确度较高，较全面，便于将各项效益指标综合起来，能够更全面的反映总体情况。</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Fonts w:hint="eastAsia"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280" w:firstLineChars="1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eastAsia="zh-CN"/>
        </w:rPr>
        <w:t>喀拉托海镇人民政府</w:t>
      </w:r>
      <w:r>
        <w:rPr>
          <w:rFonts w:hint="eastAsia" w:ascii="仿宋_GB2312" w:eastAsia="仿宋_GB2312"/>
          <w:sz w:val="28"/>
          <w:szCs w:val="36"/>
        </w:rPr>
        <w:t>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544" w:firstLineChars="200"/>
        <w:rPr>
          <w:rStyle w:val="16"/>
          <w:rFonts w:hint="eastAsia" w:ascii="仿宋_GB2312" w:hAnsi="楷体" w:eastAsia="仿宋_GB2312"/>
          <w:b w:val="0"/>
          <w:spacing w:val="-4"/>
          <w:sz w:val="28"/>
          <w:szCs w:val="28"/>
          <w:highlight w:val="none"/>
          <w:lang w:eastAsia="zh-CN"/>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3007.84</w:t>
      </w:r>
      <w:r>
        <w:rPr>
          <w:rStyle w:val="16"/>
          <w:rFonts w:hint="eastAsia" w:ascii="仿宋_GB2312" w:hAnsi="楷体" w:eastAsia="仿宋_GB2312"/>
          <w:b w:val="0"/>
          <w:spacing w:val="-4"/>
          <w:sz w:val="28"/>
          <w:szCs w:val="28"/>
        </w:rPr>
        <w:t>万元，其中：工资福</w:t>
      </w:r>
      <w:r>
        <w:rPr>
          <w:rStyle w:val="16"/>
          <w:rFonts w:hint="eastAsia" w:ascii="仿宋_GB2312" w:hAnsi="楷体" w:eastAsia="仿宋_GB2312"/>
          <w:b w:val="0"/>
          <w:spacing w:val="-4"/>
          <w:sz w:val="28"/>
          <w:szCs w:val="28"/>
          <w:highlight w:val="none"/>
        </w:rPr>
        <w:t>利支出，</w:t>
      </w:r>
      <w:r>
        <w:rPr>
          <w:rStyle w:val="16"/>
          <w:rFonts w:hint="eastAsia" w:ascii="仿宋_GB2312" w:hAnsi="楷体" w:eastAsia="仿宋_GB2312"/>
          <w:b w:val="0"/>
          <w:spacing w:val="-4"/>
          <w:sz w:val="28"/>
          <w:szCs w:val="28"/>
          <w:highlight w:val="none"/>
          <w:lang w:eastAsia="zh-CN"/>
        </w:rPr>
        <w:t>商品和服</w:t>
      </w:r>
      <w:r>
        <w:rPr>
          <w:rStyle w:val="16"/>
          <w:rFonts w:hint="eastAsia" w:ascii="仿宋_GB2312" w:hAnsi="楷体" w:eastAsia="仿宋_GB2312"/>
          <w:b w:val="0"/>
          <w:spacing w:val="-4"/>
          <w:sz w:val="28"/>
          <w:szCs w:val="28"/>
          <w:highlight w:val="none"/>
        </w:rPr>
        <w:t>务支出，对个人和家庭的补助</w:t>
      </w:r>
      <w:r>
        <w:rPr>
          <w:rStyle w:val="16"/>
          <w:rFonts w:hint="eastAsia" w:ascii="仿宋_GB2312" w:hAnsi="楷体" w:eastAsia="仿宋_GB2312"/>
          <w:b w:val="0"/>
          <w:spacing w:val="-4"/>
          <w:sz w:val="28"/>
          <w:szCs w:val="28"/>
          <w:highlight w:val="none"/>
          <w:lang w:eastAsia="zh-CN"/>
        </w:rPr>
        <w:t>。</w:t>
      </w:r>
    </w:p>
    <w:p>
      <w:pPr>
        <w:spacing w:line="360" w:lineRule="auto"/>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2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w:t>
      </w:r>
      <w:r>
        <w:rPr>
          <w:rStyle w:val="16"/>
          <w:rFonts w:hint="eastAsia" w:ascii="仿宋_GB2312" w:hAnsi="楷体" w:eastAsia="仿宋_GB2312"/>
          <w:b w:val="0"/>
          <w:spacing w:val="-4"/>
          <w:sz w:val="28"/>
          <w:szCs w:val="28"/>
          <w:lang w:val="en-US" w:eastAsia="zh-CN"/>
        </w:rPr>
        <w:t>2054.74</w:t>
      </w:r>
      <w:r>
        <w:rPr>
          <w:rStyle w:val="16"/>
          <w:rFonts w:hint="eastAsia" w:ascii="仿宋_GB2312" w:hAnsi="楷体" w:eastAsia="仿宋_GB2312"/>
          <w:b w:val="0"/>
          <w:spacing w:val="-4"/>
          <w:sz w:val="28"/>
          <w:szCs w:val="28"/>
        </w:rPr>
        <w:t>万元：喀拉托海镇足球场建设项目(伊州财建[2019]75号公共体育普及工程中央基建投资）项目</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伊州财农[2019]122号,新财扶[2019]43号喀拉托海镇拱棚建设项目</w:t>
      </w:r>
      <w:r>
        <w:rPr>
          <w:rStyle w:val="16"/>
          <w:rFonts w:hint="eastAsia" w:ascii="仿宋_GB2312" w:hAnsi="楷体" w:eastAsia="仿宋_GB2312"/>
          <w:b w:val="0"/>
          <w:spacing w:val="-4"/>
          <w:sz w:val="28"/>
          <w:szCs w:val="28"/>
          <w:lang w:eastAsia="zh-CN"/>
        </w:rPr>
        <w:t>、特</w:t>
      </w:r>
      <w:r>
        <w:rPr>
          <w:rStyle w:val="16"/>
          <w:rFonts w:hint="eastAsia" w:ascii="仿宋_GB2312" w:hAnsi="楷体" w:eastAsia="仿宋_GB2312"/>
          <w:b w:val="0"/>
          <w:spacing w:val="-4"/>
          <w:sz w:val="28"/>
          <w:szCs w:val="28"/>
        </w:rPr>
        <w:t>克斯县喀拉托海镇也什克勒克村人居环境基础设施建设项</w:t>
      </w:r>
      <w:r>
        <w:rPr>
          <w:rStyle w:val="16"/>
          <w:rFonts w:hint="eastAsia" w:ascii="仿宋_GB2312" w:hAnsi="楷体" w:eastAsia="仿宋_GB2312"/>
          <w:b w:val="0"/>
          <w:spacing w:val="-4"/>
          <w:sz w:val="28"/>
          <w:szCs w:val="28"/>
          <w:lang w:eastAsia="zh-CN"/>
        </w:rPr>
        <w:t>安排</w:t>
      </w:r>
      <w:r>
        <w:rPr>
          <w:rStyle w:val="16"/>
          <w:rFonts w:hint="eastAsia" w:ascii="仿宋_GB2312" w:hAnsi="楷体" w:eastAsia="仿宋_GB2312"/>
          <w:b w:val="0"/>
          <w:spacing w:val="-4"/>
          <w:sz w:val="28"/>
          <w:szCs w:val="28"/>
        </w:rPr>
        <w:t>特克斯县喀拉托海镇喀拉托海村、阿克卓勒村农村人居环境整治建设项目</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lang w:val="en-US" w:eastAsia="zh-CN"/>
        </w:rPr>
        <w:t>2021年中央提前告知财政专项扶贫资金（暂定名）预算（柯尔干布拉克村旅游发展建设项目）、喀拉托海镇阿克托海村活畜交易市场建设项目、2021年中央提前告知财政专项扶贫资金（暂定名）预算（阿克托海村光伏发电项目）、喀拉托海镇柯尔干布拉克村改善人居环境基础设施建设项目、喀拉托海镇也什可立克村改善人居环境基础设施建设项目、喀拉托海镇也什可立克村富民市场及合作社绿化美化项目、喀拉托海镇喀拉托海村停车场及村内绿化美化项目、特克斯县喀拉托海镇音加尔村壮大村集体经济项目安排、特克斯县喀拉托海镇喀拉托海村卫生治理建设项目安排。</w:t>
      </w:r>
    </w:p>
    <w:p>
      <w:pPr>
        <w:pStyle w:val="3"/>
        <w:spacing w:line="360" w:lineRule="auto"/>
        <w:rPr>
          <w:rFonts w:ascii="仿宋" w:hAnsi="仿宋" w:eastAsia="仿宋"/>
          <w:sz w:val="36"/>
          <w:szCs w:val="36"/>
          <w:lang w:bidi="ar"/>
        </w:rPr>
      </w:pPr>
      <w:bookmarkStart w:id="9" w:name="_Toc70450297"/>
      <w:r>
        <w:rPr>
          <w:rFonts w:hint="eastAsia" w:ascii="仿宋" w:hAnsi="仿宋" w:eastAsia="仿宋"/>
          <w:sz w:val="36"/>
          <w:szCs w:val="36"/>
          <w:lang w:bidi="ar"/>
        </w:rPr>
        <w:t>二、部门单位整体支出管理及使用情况</w:t>
      </w:r>
      <w:bookmarkEnd w:id="9"/>
    </w:p>
    <w:p>
      <w:pPr>
        <w:pStyle w:val="4"/>
        <w:spacing w:line="360" w:lineRule="auto"/>
        <w:rPr>
          <w:rStyle w:val="16"/>
          <w:rFonts w:ascii="仿宋" w:hAnsi="仿宋" w:eastAsia="仿宋"/>
          <w:b/>
          <w:bCs/>
        </w:rPr>
      </w:pPr>
      <w:bookmarkStart w:id="10" w:name="_Toc70450298"/>
      <w:r>
        <w:rPr>
          <w:rStyle w:val="16"/>
          <w:rFonts w:hint="eastAsia" w:ascii="仿宋" w:hAnsi="仿宋" w:eastAsia="仿宋"/>
          <w:b/>
          <w:bCs/>
        </w:rPr>
        <w:t>（一）预算管理</w:t>
      </w:r>
      <w:bookmarkEnd w:id="10"/>
    </w:p>
    <w:p>
      <w:pPr>
        <w:pStyle w:val="5"/>
        <w:spacing w:line="360" w:lineRule="auto"/>
        <w:ind w:firstLine="562" w:firstLineChars="200"/>
        <w:rPr>
          <w:rStyle w:val="16"/>
          <w:rFonts w:ascii="仿宋" w:hAnsi="仿宋" w:eastAsia="仿宋"/>
          <w:b/>
          <w:bCs/>
        </w:rPr>
      </w:pPr>
      <w:bookmarkStart w:id="11" w:name="_Toc70450299"/>
      <w:r>
        <w:rPr>
          <w:rStyle w:val="16"/>
          <w:rFonts w:ascii="仿宋" w:hAnsi="仿宋" w:eastAsia="仿宋"/>
          <w:b/>
          <w:bCs/>
        </w:rPr>
        <w:t>1</w:t>
      </w:r>
      <w:r>
        <w:rPr>
          <w:rStyle w:val="16"/>
          <w:rFonts w:hint="eastAsia" w:ascii="仿宋" w:hAnsi="仿宋" w:eastAsia="仿宋"/>
          <w:b/>
          <w:bCs/>
        </w:rPr>
        <w:t>、预算编制管理</w:t>
      </w:r>
      <w:bookmarkEnd w:id="11"/>
    </w:p>
    <w:p>
      <w:pPr>
        <w:spacing w:line="360" w:lineRule="auto"/>
        <w:ind w:firstLine="506" w:firstLineChars="181"/>
        <w:rPr>
          <w:rStyle w:val="16"/>
          <w:rFonts w:asciiTheme="minorEastAsia" w:hAnsiTheme="minorEastAsia"/>
          <w:color w:val="FF0000"/>
          <w:spacing w:val="-4"/>
          <w:sz w:val="28"/>
          <w:szCs w:val="28"/>
        </w:rPr>
      </w:pPr>
      <w:r>
        <w:rPr>
          <w:rFonts w:hint="eastAsia" w:ascii="仿宋_GB2312" w:eastAsia="仿宋_GB2312"/>
          <w:sz w:val="28"/>
          <w:szCs w:val="36"/>
        </w:rPr>
        <w:t>我</w:t>
      </w:r>
      <w:r>
        <w:rPr>
          <w:rStyle w:val="16"/>
          <w:rFonts w:hint="eastAsia" w:ascii="仿宋_GB2312" w:hAnsi="楷体" w:eastAsia="仿宋_GB2312"/>
          <w:b w:val="0"/>
          <w:spacing w:val="-4"/>
          <w:sz w:val="28"/>
          <w:szCs w:val="28"/>
          <w:lang w:eastAsia="zh-CN"/>
        </w:rPr>
        <w:t>单位</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eastAsia="zh-CN"/>
        </w:rPr>
        <w:t>相关</w:t>
      </w:r>
      <w:r>
        <w:rPr>
          <w:rFonts w:hint="eastAsia" w:ascii="仿宋_GB2312" w:eastAsia="仿宋_GB2312"/>
          <w:sz w:val="28"/>
          <w:szCs w:val="36"/>
        </w:rPr>
        <w:t>要求，部门预算及绩效目标在</w:t>
      </w:r>
      <w:r>
        <w:rPr>
          <w:rFonts w:hint="eastAsia" w:ascii="仿宋_GB2312" w:eastAsia="仿宋_GB2312"/>
          <w:sz w:val="28"/>
          <w:szCs w:val="36"/>
          <w:lang w:eastAsia="zh-CN"/>
        </w:rPr>
        <w:t>特克斯县公共信息网</w:t>
      </w:r>
      <w:r>
        <w:rPr>
          <w:rFonts w:hint="eastAsia" w:ascii="仿宋_GB2312" w:eastAsia="仿宋_GB2312"/>
          <w:sz w:val="28"/>
          <w:szCs w:val="36"/>
        </w:rPr>
        <w:t>公开，</w:t>
      </w:r>
      <w:r>
        <w:rPr>
          <w:rFonts w:ascii="仿宋_GB2312" w:eastAsia="仿宋_GB2312"/>
          <w:sz w:val="28"/>
          <w:szCs w:val="36"/>
          <w:lang w:val="zh-CN"/>
        </w:rPr>
        <w:t>广泛接受社会监督</w:t>
      </w:r>
      <w:r>
        <w:rPr>
          <w:rFonts w:hint="eastAsia" w:ascii="仿宋_GB2312" w:eastAsia="仿宋_GB2312"/>
          <w:sz w:val="28"/>
          <w:szCs w:val="36"/>
          <w:lang w:val="zh-CN"/>
        </w:rPr>
        <w:t>。</w:t>
      </w:r>
    </w:p>
    <w:p>
      <w:pPr>
        <w:pStyle w:val="5"/>
        <w:spacing w:line="360" w:lineRule="auto"/>
        <w:ind w:firstLine="562" w:firstLineChars="200"/>
        <w:rPr>
          <w:rStyle w:val="16"/>
          <w:rFonts w:ascii="仿宋" w:hAnsi="仿宋" w:eastAsia="仿宋"/>
          <w:b/>
          <w:bCs/>
        </w:rPr>
      </w:pPr>
      <w:bookmarkStart w:id="12"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2"/>
    </w:p>
    <w:p>
      <w:pPr>
        <w:spacing w:line="360" w:lineRule="auto"/>
        <w:ind w:firstLine="560" w:firstLineChars="200"/>
        <w:rPr>
          <w:rStyle w:val="16"/>
          <w:b w:val="0"/>
          <w:bCs w:val="0"/>
        </w:rPr>
      </w:pPr>
      <w:r>
        <w:rPr>
          <w:rFonts w:hint="eastAsia" w:ascii="仿宋_GB2312" w:eastAsia="仿宋_GB2312"/>
          <w:sz w:val="28"/>
          <w:szCs w:val="36"/>
        </w:rPr>
        <w:t>我单位按照财政要求基本支出分月度申报资金使用计划，由财政部门按照进度每月按期拨付，人员支出按照工资计划发放工资；依照</w:t>
      </w:r>
      <w:r>
        <w:rPr>
          <w:rFonts w:hint="eastAsia" w:ascii="仿宋_GB2312" w:eastAsia="仿宋_GB2312"/>
          <w:sz w:val="28"/>
          <w:szCs w:val="36"/>
          <w:lang w:eastAsia="zh-CN"/>
        </w:rPr>
        <w:t>特克斯县喀拉托海镇人民政府</w:t>
      </w:r>
      <w:r>
        <w:rPr>
          <w:rFonts w:hint="eastAsia" w:ascii="仿宋_GB2312" w:eastAsia="仿宋_GB2312"/>
          <w:sz w:val="28"/>
          <w:szCs w:val="36"/>
        </w:rPr>
        <w:t>《</w:t>
      </w:r>
      <w:r>
        <w:rPr>
          <w:rFonts w:hint="eastAsia" w:ascii="仿宋_GB2312" w:eastAsia="仿宋_GB2312"/>
          <w:sz w:val="28"/>
          <w:szCs w:val="36"/>
          <w:lang w:eastAsia="zh-CN"/>
        </w:rPr>
        <w:t>喀拉托海镇</w:t>
      </w:r>
      <w:r>
        <w:rPr>
          <w:rFonts w:hint="eastAsia" w:ascii="仿宋_GB2312" w:eastAsia="仿宋_GB2312"/>
          <w:sz w:val="28"/>
          <w:szCs w:val="36"/>
        </w:rPr>
        <w:t>收入支出财务制度》相关规定和《</w:t>
      </w:r>
      <w:r>
        <w:rPr>
          <w:rFonts w:hint="eastAsia" w:ascii="仿宋_GB2312" w:eastAsia="仿宋_GB2312"/>
          <w:color w:val="auto"/>
          <w:sz w:val="28"/>
          <w:szCs w:val="36"/>
          <w:lang w:val="en-US" w:eastAsia="zh-CN"/>
        </w:rPr>
        <w:t>预算法</w:t>
      </w:r>
      <w:r>
        <w:rPr>
          <w:rFonts w:hint="eastAsia" w:ascii="仿宋_GB2312" w:eastAsia="仿宋_GB2312"/>
          <w:sz w:val="28"/>
          <w:szCs w:val="36"/>
        </w:rPr>
        <w:t>》规定流程，资金支出按照我内控体系中设定的流程申报审批进行；项目支出属于政府采购的，按照</w:t>
      </w:r>
      <w:r>
        <w:rPr>
          <w:rFonts w:hint="eastAsia" w:ascii="仿宋_GB2312" w:eastAsia="仿宋_GB2312"/>
          <w:sz w:val="28"/>
          <w:szCs w:val="36"/>
          <w:lang w:eastAsia="zh-CN"/>
        </w:rPr>
        <w:t>新疆维吾尔自治区财政厅</w:t>
      </w:r>
      <w:r>
        <w:rPr>
          <w:rFonts w:hint="eastAsia" w:ascii="仿宋_GB2312" w:eastAsia="仿宋_GB2312"/>
          <w:sz w:val="28"/>
          <w:szCs w:val="36"/>
        </w:rPr>
        <w:t>《</w:t>
      </w:r>
      <w:r>
        <w:rPr>
          <w:rFonts w:hint="eastAsia" w:ascii="仿宋_GB2312" w:eastAsia="仿宋_GB2312"/>
          <w:sz w:val="28"/>
          <w:szCs w:val="36"/>
          <w:lang w:eastAsia="zh-CN"/>
        </w:rPr>
        <w:t>新疆维吾尔自治区</w:t>
      </w:r>
      <w:r>
        <w:rPr>
          <w:rFonts w:hint="eastAsia" w:ascii="仿宋_GB2312" w:eastAsia="仿宋_GB2312"/>
          <w:sz w:val="28"/>
          <w:szCs w:val="36"/>
          <w:lang w:val="en-US" w:eastAsia="zh-CN"/>
        </w:rPr>
        <w:t>2021-2022年度政府采购集中采购目录及标准</w:t>
      </w:r>
      <w:r>
        <w:rPr>
          <w:rFonts w:hint="eastAsia" w:ascii="仿宋_GB2312" w:eastAsia="仿宋_GB2312"/>
          <w:sz w:val="28"/>
          <w:szCs w:val="36"/>
        </w:rPr>
        <w:t>》组织人员制定采购计划，按照财政局采购部门批复，进行公开招标、邀请招标等方式进行；属于非政府采购的项目，按照“三重一大”制度规定，重大项目支出上党组会研究决定。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3" w:name="_Toc70450301"/>
      <w:r>
        <w:rPr>
          <w:rStyle w:val="16"/>
          <w:rFonts w:hint="eastAsia"/>
          <w:b/>
          <w:bCs/>
          <w:sz w:val="28"/>
          <w:szCs w:val="28"/>
        </w:rPr>
        <w:t>（二）基本支出管理及使用情况</w:t>
      </w:r>
      <w:bookmarkEnd w:id="13"/>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w:t>
      </w:r>
      <w:r>
        <w:rPr>
          <w:rStyle w:val="16"/>
          <w:rFonts w:hint="eastAsia" w:ascii="仿宋_GB2312" w:hAnsi="楷体" w:eastAsia="仿宋_GB2312"/>
          <w:b w:val="0"/>
          <w:spacing w:val="-4"/>
          <w:sz w:val="28"/>
          <w:szCs w:val="28"/>
          <w:lang w:val="en-US" w:eastAsia="zh-CN"/>
        </w:rPr>
        <w:t>3007.84</w:t>
      </w:r>
      <w:r>
        <w:rPr>
          <w:rStyle w:val="16"/>
          <w:rFonts w:hint="eastAsia" w:ascii="仿宋_GB2312" w:hAnsi="楷体" w:eastAsia="仿宋_GB2312"/>
          <w:b w:val="0"/>
          <w:spacing w:val="-4"/>
          <w:sz w:val="28"/>
          <w:szCs w:val="28"/>
        </w:rPr>
        <w:t>万元，实际到位</w:t>
      </w:r>
      <w:r>
        <w:rPr>
          <w:rStyle w:val="16"/>
          <w:rFonts w:hint="eastAsia" w:ascii="仿宋_GB2312" w:hAnsi="楷体" w:eastAsia="仿宋_GB2312"/>
          <w:b w:val="0"/>
          <w:spacing w:val="-4"/>
          <w:sz w:val="28"/>
          <w:szCs w:val="28"/>
          <w:lang w:val="en-US" w:eastAsia="zh-CN"/>
        </w:rPr>
        <w:t>3007.84</w:t>
      </w:r>
      <w:r>
        <w:rPr>
          <w:rStyle w:val="16"/>
          <w:rFonts w:hint="eastAsia" w:ascii="仿宋_GB2312" w:hAnsi="楷体" w:eastAsia="仿宋_GB2312"/>
          <w:b w:val="0"/>
          <w:spacing w:val="-4"/>
          <w:sz w:val="28"/>
          <w:szCs w:val="28"/>
        </w:rPr>
        <w:t>万元,实际支出</w:t>
      </w:r>
      <w:r>
        <w:rPr>
          <w:rStyle w:val="16"/>
          <w:rFonts w:hint="eastAsia" w:ascii="仿宋_GB2312" w:hAnsi="楷体" w:eastAsia="仿宋_GB2312"/>
          <w:b w:val="0"/>
          <w:spacing w:val="-4"/>
          <w:sz w:val="28"/>
          <w:szCs w:val="28"/>
          <w:lang w:val="en-US" w:eastAsia="zh-CN"/>
        </w:rPr>
        <w:t>3007.84</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59.41</w:t>
      </w:r>
      <w:r>
        <w:rPr>
          <w:rStyle w:val="16"/>
          <w:rFonts w:hint="eastAsia" w:ascii="仿宋_GB2312" w:hAnsi="楷体" w:eastAsia="仿宋_GB2312"/>
          <w:b w:val="0"/>
          <w:spacing w:val="-4"/>
          <w:sz w:val="28"/>
          <w:szCs w:val="28"/>
        </w:rPr>
        <w:t>％，其中：工资福利支出</w:t>
      </w:r>
      <w:r>
        <w:rPr>
          <w:rStyle w:val="16"/>
          <w:rFonts w:hint="eastAsia" w:ascii="仿宋_GB2312" w:hAnsi="楷体" w:eastAsia="仿宋_GB2312"/>
          <w:b w:val="0"/>
          <w:spacing w:val="-4"/>
          <w:sz w:val="28"/>
          <w:szCs w:val="28"/>
          <w:lang w:val="en-US" w:eastAsia="zh-CN"/>
        </w:rPr>
        <w:t>2145.65</w:t>
      </w:r>
      <w:r>
        <w:rPr>
          <w:rStyle w:val="16"/>
          <w:rFonts w:hint="eastAsia" w:ascii="仿宋_GB2312" w:hAnsi="楷体" w:eastAsia="仿宋_GB2312"/>
          <w:b w:val="0"/>
          <w:spacing w:val="-4"/>
          <w:sz w:val="28"/>
          <w:szCs w:val="28"/>
        </w:rPr>
        <w:t>万元，主要用于在职和离退休人员基本工资、津贴补贴等人员经费。商品和服务支出</w:t>
      </w:r>
      <w:r>
        <w:rPr>
          <w:rStyle w:val="16"/>
          <w:rFonts w:hint="eastAsia" w:ascii="仿宋_GB2312" w:hAnsi="楷体" w:eastAsia="仿宋_GB2312"/>
          <w:b w:val="0"/>
          <w:spacing w:val="-4"/>
          <w:sz w:val="28"/>
          <w:szCs w:val="28"/>
          <w:lang w:val="en-US" w:eastAsia="zh-CN"/>
        </w:rPr>
        <w:t>364.18</w:t>
      </w:r>
      <w:r>
        <w:rPr>
          <w:rStyle w:val="16"/>
          <w:rFonts w:hint="eastAsia" w:ascii="仿宋_GB2312" w:hAnsi="楷体" w:eastAsia="仿宋_GB2312"/>
          <w:b w:val="0"/>
          <w:spacing w:val="-4"/>
          <w:sz w:val="28"/>
          <w:szCs w:val="28"/>
        </w:rPr>
        <w:t>万元，主要用于办公费、印刷费、水电费、办公设备购置等。对个人和家庭的补助</w:t>
      </w:r>
      <w:r>
        <w:rPr>
          <w:rStyle w:val="16"/>
          <w:rFonts w:hint="eastAsia" w:ascii="仿宋_GB2312" w:hAnsi="楷体" w:eastAsia="仿宋_GB2312"/>
          <w:b w:val="0"/>
          <w:spacing w:val="-4"/>
          <w:sz w:val="28"/>
          <w:szCs w:val="28"/>
          <w:lang w:val="en-US" w:eastAsia="zh-CN"/>
        </w:rPr>
        <w:t>498.01</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eastAsia="zh-CN"/>
        </w:rPr>
        <w:t>三来四类人员补助，双联户补助，</w:t>
      </w:r>
      <w:r>
        <w:rPr>
          <w:rStyle w:val="16"/>
          <w:rFonts w:hint="eastAsia" w:ascii="仿宋_GB2312" w:hAnsi="楷体" w:eastAsia="仿宋_GB2312"/>
          <w:b w:val="0"/>
          <w:spacing w:val="-4"/>
          <w:sz w:val="28"/>
          <w:szCs w:val="28"/>
          <w:lang w:val="en-US" w:eastAsia="zh-CN"/>
        </w:rPr>
        <w:t>JW</w:t>
      </w:r>
      <w:r>
        <w:rPr>
          <w:rStyle w:val="16"/>
          <w:rFonts w:hint="eastAsia" w:ascii="仿宋_GB2312" w:hAnsi="楷体" w:eastAsia="仿宋_GB2312"/>
          <w:b w:val="0"/>
          <w:spacing w:val="-4"/>
          <w:sz w:val="28"/>
          <w:szCs w:val="28"/>
          <w:lang w:eastAsia="zh-CN"/>
        </w:rPr>
        <w:t>人员补助等。</w:t>
      </w:r>
      <w:r>
        <w:rPr>
          <w:rStyle w:val="16"/>
          <w:rFonts w:hint="eastAsia" w:ascii="仿宋_GB2312" w:hAnsi="楷体" w:eastAsia="仿宋_GB2312"/>
          <w:b w:val="0"/>
          <w:spacing w:val="-4"/>
          <w:sz w:val="28"/>
          <w:szCs w:val="28"/>
        </w:rPr>
        <w:t>资本性支出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hint="default"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rPr>
        <w:t>2021年基本支出比上年</w:t>
      </w:r>
      <w:r>
        <w:rPr>
          <w:rStyle w:val="16"/>
          <w:rFonts w:hint="eastAsia" w:ascii="仿宋_GB2312" w:hAnsi="楷体" w:eastAsia="仿宋_GB2312" w:cs="Times New Roman"/>
          <w:b w:val="0"/>
          <w:spacing w:val="-4"/>
          <w:sz w:val="28"/>
          <w:szCs w:val="28"/>
        </w:rPr>
        <w:t>2906.31</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增加</w:t>
      </w:r>
      <w:r>
        <w:rPr>
          <w:rStyle w:val="16"/>
          <w:rFonts w:hint="eastAsia" w:ascii="仿宋_GB2312" w:hAnsi="楷体" w:eastAsia="仿宋_GB2312"/>
          <w:b w:val="0"/>
          <w:spacing w:val="-4"/>
          <w:sz w:val="28"/>
          <w:szCs w:val="28"/>
          <w:lang w:val="en-US" w:eastAsia="zh-CN"/>
        </w:rPr>
        <w:t>101.53</w:t>
      </w:r>
      <w:r>
        <w:rPr>
          <w:rStyle w:val="16"/>
          <w:rFonts w:hint="eastAsia" w:ascii="仿宋_GB2312" w:hAnsi="楷体" w:eastAsia="仿宋_GB2312"/>
          <w:b w:val="0"/>
          <w:spacing w:val="-4"/>
          <w:sz w:val="28"/>
          <w:szCs w:val="28"/>
        </w:rPr>
        <w:t>万元，上升</w:t>
      </w:r>
      <w:r>
        <w:rPr>
          <w:rStyle w:val="16"/>
          <w:rFonts w:hint="eastAsia" w:ascii="仿宋_GB2312" w:hAnsi="楷体" w:eastAsia="仿宋_GB2312"/>
          <w:b w:val="0"/>
          <w:spacing w:val="-4"/>
          <w:sz w:val="28"/>
          <w:szCs w:val="28"/>
          <w:lang w:val="en-US" w:eastAsia="zh-CN"/>
        </w:rPr>
        <w:t>3.49</w:t>
      </w:r>
      <w:r>
        <w:rPr>
          <w:rStyle w:val="16"/>
          <w:rFonts w:ascii="仿宋_GB2312" w:hAnsi="宋体" w:eastAsia="仿宋_GB2312"/>
          <w:b w:val="0"/>
          <w:bCs w:val="0"/>
          <w:spacing w:val="-4"/>
          <w:sz w:val="28"/>
          <w:szCs w:val="28"/>
        </w:rPr>
        <w:t>%</w:t>
      </w:r>
      <w:r>
        <w:rPr>
          <w:rStyle w:val="16"/>
          <w:rFonts w:hint="eastAsia" w:ascii="仿宋_GB2312" w:hAnsi="楷体" w:eastAsia="仿宋_GB2312"/>
          <w:b w:val="0"/>
          <w:spacing w:val="-4"/>
          <w:sz w:val="28"/>
          <w:szCs w:val="28"/>
        </w:rPr>
        <w:t>，支出上升主要原因是</w:t>
      </w:r>
      <w:r>
        <w:rPr>
          <w:rStyle w:val="16"/>
          <w:rFonts w:hint="eastAsia" w:ascii="仿宋_GB2312" w:hAnsi="楷体" w:eastAsia="仿宋_GB2312"/>
          <w:b w:val="0"/>
          <w:spacing w:val="-4"/>
          <w:sz w:val="28"/>
          <w:szCs w:val="28"/>
          <w:lang w:eastAsia="zh-CN"/>
        </w:rPr>
        <w:t>人员正常升级，工资社保基数增加</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w:t>
      </w:r>
      <w:r>
        <w:rPr>
          <w:rStyle w:val="16"/>
          <w:rFonts w:hint="eastAsia" w:ascii="仿宋_GB2312" w:hAnsi="楷体" w:eastAsia="仿宋_GB2312"/>
          <w:b w:val="0"/>
          <w:spacing w:val="-4"/>
          <w:sz w:val="28"/>
          <w:szCs w:val="28"/>
          <w:lang w:val="en-US" w:eastAsia="zh-CN"/>
        </w:rPr>
        <w:t>2.25</w:t>
      </w:r>
      <w:r>
        <w:rPr>
          <w:rStyle w:val="16"/>
          <w:rFonts w:hint="eastAsia" w:ascii="仿宋_GB2312" w:hAnsi="楷体" w:eastAsia="仿宋_GB2312"/>
          <w:b w:val="0"/>
          <w:spacing w:val="-4"/>
          <w:sz w:val="28"/>
          <w:szCs w:val="28"/>
        </w:rPr>
        <w:t>万元，其中：因公出国（境）费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万元，公务用车购置</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公</w:t>
      </w:r>
      <w:r>
        <w:rPr>
          <w:rStyle w:val="16"/>
          <w:rFonts w:hint="eastAsia" w:ascii="仿宋_GB2312" w:hAnsi="楷体" w:eastAsia="仿宋_GB2312"/>
          <w:b w:val="0"/>
          <w:spacing w:val="-4"/>
          <w:sz w:val="28"/>
          <w:szCs w:val="28"/>
        </w:rPr>
        <w:t>务</w:t>
      </w:r>
      <w:r>
        <w:rPr>
          <w:rStyle w:val="16"/>
          <w:rFonts w:hint="eastAsia" w:ascii="仿宋_GB2312" w:hAnsi="楷体" w:eastAsia="仿宋_GB2312"/>
          <w:b w:val="0"/>
          <w:spacing w:val="-4"/>
          <w:sz w:val="28"/>
          <w:szCs w:val="28"/>
          <w:lang w:eastAsia="zh-CN"/>
        </w:rPr>
        <w:t>用</w:t>
      </w:r>
      <w:r>
        <w:rPr>
          <w:rStyle w:val="16"/>
          <w:rFonts w:hint="eastAsia" w:ascii="仿宋_GB2312" w:hAnsi="楷体" w:eastAsia="仿宋_GB2312"/>
          <w:b w:val="0"/>
          <w:spacing w:val="-4"/>
          <w:sz w:val="28"/>
          <w:szCs w:val="28"/>
        </w:rPr>
        <w:t>车运行费</w:t>
      </w:r>
      <w:r>
        <w:rPr>
          <w:rStyle w:val="16"/>
          <w:rFonts w:hint="eastAsia" w:ascii="仿宋_GB2312" w:hAnsi="楷体" w:eastAsia="仿宋_GB2312"/>
          <w:b w:val="0"/>
          <w:spacing w:val="-4"/>
          <w:sz w:val="28"/>
          <w:szCs w:val="28"/>
          <w:lang w:val="en-US" w:eastAsia="zh-CN"/>
        </w:rPr>
        <w:t>2.25</w:t>
      </w:r>
      <w:r>
        <w:rPr>
          <w:rStyle w:val="16"/>
          <w:rFonts w:hint="eastAsia" w:ascii="仿宋_GB2312" w:hAnsi="楷体" w:eastAsia="仿宋_GB2312"/>
          <w:b w:val="0"/>
          <w:spacing w:val="-4"/>
          <w:sz w:val="28"/>
          <w:szCs w:val="28"/>
        </w:rPr>
        <w:t>万元，公务接待费</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年一般公共预算“三公”经费比上年增加</w:t>
      </w:r>
      <w:r>
        <w:rPr>
          <w:rStyle w:val="16"/>
          <w:rFonts w:hint="eastAsia" w:ascii="仿宋_GB2312" w:hAnsi="楷体" w:eastAsia="仿宋_GB2312"/>
          <w:b w:val="0"/>
          <w:spacing w:val="-4"/>
          <w:sz w:val="28"/>
          <w:szCs w:val="28"/>
          <w:lang w:val="en-US" w:eastAsia="zh-CN"/>
        </w:rPr>
        <w:t>1.53</w:t>
      </w:r>
      <w:r>
        <w:rPr>
          <w:rStyle w:val="16"/>
          <w:rFonts w:hint="eastAsia" w:ascii="仿宋_GB2312" w:hAnsi="楷体" w:eastAsia="仿宋_GB2312"/>
          <w:b w:val="0"/>
          <w:spacing w:val="-4"/>
          <w:sz w:val="28"/>
          <w:szCs w:val="28"/>
        </w:rPr>
        <w:t>万元，其中：因公出国（境）费增加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万元，主要原因是未安排预算；公务用车购置费为0，主要原因是未安排预算。公务用车运行费增加</w:t>
      </w:r>
      <w:r>
        <w:rPr>
          <w:rStyle w:val="16"/>
          <w:rFonts w:hint="eastAsia" w:ascii="仿宋_GB2312" w:hAnsi="楷体" w:eastAsia="仿宋_GB2312"/>
          <w:b w:val="0"/>
          <w:spacing w:val="-4"/>
          <w:sz w:val="28"/>
          <w:szCs w:val="28"/>
          <w:lang w:val="en-US" w:eastAsia="zh-CN"/>
        </w:rPr>
        <w:t>1.53</w:t>
      </w:r>
      <w:r>
        <w:rPr>
          <w:rStyle w:val="16"/>
          <w:rFonts w:hint="eastAsia" w:ascii="仿宋_GB2312" w:hAnsi="楷体" w:eastAsia="仿宋_GB2312"/>
          <w:b w:val="0"/>
          <w:spacing w:val="-4"/>
          <w:sz w:val="28"/>
          <w:szCs w:val="28"/>
        </w:rPr>
        <w:t>万元，主要原因是</w:t>
      </w:r>
      <w:r>
        <w:rPr>
          <w:rStyle w:val="16"/>
          <w:rFonts w:hint="eastAsia" w:ascii="仿宋_GB2312" w:hAnsi="楷体" w:eastAsia="仿宋_GB2312"/>
          <w:b w:val="0"/>
          <w:spacing w:val="-4"/>
          <w:sz w:val="28"/>
          <w:szCs w:val="28"/>
          <w:lang w:eastAsia="zh-CN"/>
        </w:rPr>
        <w:t>下村督导检查工作增加</w:t>
      </w:r>
      <w:r>
        <w:rPr>
          <w:rStyle w:val="16"/>
          <w:rFonts w:hint="eastAsia" w:ascii="仿宋_GB2312" w:hAnsi="楷体" w:eastAsia="仿宋_GB2312"/>
          <w:b w:val="0"/>
          <w:spacing w:val="-4"/>
          <w:sz w:val="28"/>
          <w:szCs w:val="28"/>
        </w:rPr>
        <w:t>；公务接待费增加</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万元，主要原因是未安排预算。</w:t>
      </w:r>
    </w:p>
    <w:p>
      <w:pPr>
        <w:pStyle w:val="4"/>
        <w:spacing w:line="360" w:lineRule="auto"/>
        <w:rPr>
          <w:rStyle w:val="16"/>
          <w:rFonts w:ascii="仿宋" w:hAnsi="仿宋" w:eastAsia="仿宋"/>
          <w:b/>
          <w:bCs/>
        </w:rPr>
      </w:pPr>
      <w:bookmarkStart w:id="14" w:name="_Toc70450302"/>
      <w:r>
        <w:rPr>
          <w:rStyle w:val="16"/>
          <w:rFonts w:hint="eastAsia" w:ascii="仿宋" w:hAnsi="仿宋" w:eastAsia="仿宋"/>
          <w:b/>
          <w:bCs/>
        </w:rPr>
        <w:t>（三）专项支出管理及使用情况</w:t>
      </w:r>
      <w:bookmarkEnd w:id="14"/>
    </w:p>
    <w:p>
      <w:pPr>
        <w:pStyle w:val="5"/>
        <w:spacing w:line="360" w:lineRule="auto"/>
        <w:ind w:firstLine="562" w:firstLineChars="200"/>
        <w:rPr>
          <w:rStyle w:val="16"/>
          <w:rFonts w:ascii="仿宋" w:hAnsi="仿宋" w:eastAsia="仿宋"/>
          <w:b/>
          <w:bCs/>
        </w:rPr>
      </w:pPr>
      <w:bookmarkStart w:id="15" w:name="_Toc70450303"/>
      <w:r>
        <w:rPr>
          <w:rStyle w:val="16"/>
          <w:rFonts w:hint="eastAsia" w:ascii="仿宋" w:hAnsi="仿宋" w:eastAsia="仿宋"/>
          <w:b/>
          <w:bCs/>
        </w:rPr>
        <w:t>1、专项资金安排落实、总投入等情况分析</w:t>
      </w:r>
      <w:bookmarkEnd w:id="15"/>
    </w:p>
    <w:p>
      <w:pPr>
        <w:spacing w:line="360" w:lineRule="auto"/>
        <w:ind w:firstLine="492" w:firstLineChars="181"/>
        <w:rPr>
          <w:rStyle w:val="16"/>
          <w:rFonts w:hint="eastAsia" w:ascii="仿宋_GB2312" w:hAnsi="楷体" w:eastAsia="仿宋_GB2312"/>
          <w:b w:val="0"/>
          <w:spacing w:val="-4"/>
          <w:sz w:val="28"/>
          <w:szCs w:val="28"/>
          <w:highlight w:val="none"/>
          <w:lang w:eastAsia="zh-CN"/>
        </w:rPr>
      </w:pPr>
      <w:r>
        <w:rPr>
          <w:rStyle w:val="16"/>
          <w:rFonts w:ascii="仿宋_GB2312" w:hAnsi="楷体" w:eastAsia="仿宋_GB2312"/>
          <w:b w:val="0"/>
          <w:spacing w:val="-4"/>
          <w:sz w:val="28"/>
          <w:szCs w:val="28"/>
          <w:highlight w:val="none"/>
        </w:rPr>
        <w:t>2021</w:t>
      </w:r>
      <w:r>
        <w:rPr>
          <w:rStyle w:val="16"/>
          <w:rFonts w:hint="eastAsia" w:ascii="仿宋_GB2312" w:hAnsi="楷体" w:eastAsia="仿宋_GB2312"/>
          <w:b w:val="0"/>
          <w:spacing w:val="-4"/>
          <w:sz w:val="28"/>
          <w:szCs w:val="28"/>
          <w:highlight w:val="none"/>
        </w:rPr>
        <w:t>年预算安排专项资金</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万元，实际到位</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w:t>
      </w:r>
      <w:r>
        <w:rPr>
          <w:rFonts w:hint="eastAsia"/>
          <w:highlight w:val="none"/>
        </w:rPr>
        <w:t xml:space="preserve"> </w:t>
      </w:r>
      <w:r>
        <w:rPr>
          <w:rStyle w:val="16"/>
          <w:rFonts w:hint="eastAsia" w:ascii="仿宋_GB2312" w:hAnsi="楷体" w:eastAsia="仿宋_GB2312"/>
          <w:b w:val="0"/>
          <w:spacing w:val="-4"/>
          <w:sz w:val="28"/>
          <w:szCs w:val="28"/>
          <w:highlight w:val="none"/>
        </w:rPr>
        <w:t>到位率</w:t>
      </w:r>
      <w:r>
        <w:rPr>
          <w:rStyle w:val="16"/>
          <w:rFonts w:hint="eastAsia" w:ascii="仿宋_GB2312" w:hAnsi="楷体" w:eastAsia="仿宋_GB2312"/>
          <w:b w:val="0"/>
          <w:spacing w:val="-4"/>
          <w:sz w:val="28"/>
          <w:szCs w:val="28"/>
          <w:highlight w:val="none"/>
          <w:lang w:val="en-US" w:eastAsia="zh-CN"/>
        </w:rPr>
        <w:t>100</w:t>
      </w:r>
      <w:r>
        <w:rPr>
          <w:rStyle w:val="16"/>
          <w:rFonts w:hint="eastAsia" w:ascii="仿宋_GB2312" w:hAnsi="楷体" w:eastAsia="仿宋_GB2312"/>
          <w:b w:val="0"/>
          <w:spacing w:val="-4"/>
          <w:sz w:val="28"/>
          <w:szCs w:val="28"/>
          <w:highlight w:val="none"/>
        </w:rPr>
        <w:t>％,其中:中央转移支付项目资金</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万元，自治区资金</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万元，本级安排</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w:t>
      </w:r>
      <w:r>
        <w:rPr>
          <w:rStyle w:val="16"/>
          <w:rFonts w:hint="eastAsia" w:eastAsia="仿宋_GB2312" w:asciiTheme="minorEastAsia" w:hAnsiTheme="minorEastAsia"/>
          <w:bCs w:val="0"/>
          <w:color w:val="auto"/>
          <w:spacing w:val="-4"/>
          <w:sz w:val="28"/>
          <w:szCs w:val="28"/>
          <w:highlight w:val="none"/>
          <w:lang w:eastAsia="zh-CN"/>
        </w:rPr>
        <w:t>。</w:t>
      </w:r>
    </w:p>
    <w:p>
      <w:pPr>
        <w:pStyle w:val="5"/>
        <w:spacing w:line="360" w:lineRule="auto"/>
        <w:ind w:firstLine="562" w:firstLineChars="200"/>
        <w:rPr>
          <w:rStyle w:val="16"/>
          <w:rFonts w:ascii="仿宋" w:hAnsi="仿宋" w:eastAsia="仿宋"/>
          <w:b/>
          <w:bCs/>
        </w:rPr>
      </w:pPr>
      <w:bookmarkStart w:id="16" w:name="_Toc70450304"/>
      <w:r>
        <w:rPr>
          <w:rStyle w:val="16"/>
          <w:rFonts w:hint="eastAsia" w:ascii="仿宋" w:hAnsi="仿宋" w:eastAsia="仿宋"/>
          <w:b/>
          <w:bCs/>
        </w:rPr>
        <w:t>2、专项资金实际使用情况</w:t>
      </w:r>
      <w:bookmarkEnd w:id="16"/>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2021年专项资金支出</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%，其中2021年专项项目支出比上年</w:t>
      </w:r>
      <w:r>
        <w:rPr>
          <w:rStyle w:val="16"/>
          <w:rFonts w:hint="eastAsia" w:ascii="仿宋_GB2312" w:hAnsi="楷体" w:eastAsia="仿宋_GB2312"/>
          <w:b w:val="0"/>
          <w:spacing w:val="-4"/>
          <w:sz w:val="28"/>
          <w:szCs w:val="28"/>
          <w:lang w:val="en-US" w:eastAsia="zh-CN"/>
        </w:rPr>
        <w:t>1305.52</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减少</w:t>
      </w:r>
      <w:r>
        <w:rPr>
          <w:rStyle w:val="16"/>
          <w:rFonts w:hint="eastAsia" w:ascii="仿宋_GB2312" w:hAnsi="楷体" w:eastAsia="仿宋_GB2312"/>
          <w:b w:val="0"/>
          <w:spacing w:val="-4"/>
          <w:sz w:val="28"/>
          <w:szCs w:val="28"/>
          <w:lang w:val="en-US" w:eastAsia="zh-CN"/>
        </w:rPr>
        <w:t>1305.52</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下降</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%。支出</w:t>
      </w:r>
      <w:r>
        <w:rPr>
          <w:rStyle w:val="16"/>
          <w:rFonts w:hint="eastAsia" w:ascii="仿宋_GB2312" w:hAnsi="楷体" w:eastAsia="仿宋_GB2312"/>
          <w:b w:val="0"/>
          <w:spacing w:val="-4"/>
          <w:sz w:val="28"/>
          <w:szCs w:val="28"/>
          <w:lang w:eastAsia="zh-CN"/>
        </w:rPr>
        <w:t>下降</w:t>
      </w:r>
      <w:r>
        <w:rPr>
          <w:rStyle w:val="16"/>
          <w:rFonts w:hint="eastAsia" w:ascii="仿宋_GB2312" w:hAnsi="楷体" w:eastAsia="仿宋_GB2312"/>
          <w:b w:val="0"/>
          <w:spacing w:val="-4"/>
          <w:sz w:val="28"/>
          <w:szCs w:val="28"/>
        </w:rPr>
        <w:t>的主要原因是</w:t>
      </w:r>
      <w:r>
        <w:rPr>
          <w:rStyle w:val="16"/>
          <w:rFonts w:hint="eastAsia" w:ascii="仿宋_GB2312" w:hAnsi="楷体" w:eastAsia="仿宋_GB2312"/>
          <w:b w:val="0"/>
          <w:spacing w:val="-4"/>
          <w:sz w:val="28"/>
          <w:szCs w:val="28"/>
          <w:lang w:eastAsia="zh-CN"/>
        </w:rPr>
        <w:t>本年度未安排项目预算</w:t>
      </w:r>
      <w:r>
        <w:rPr>
          <w:rStyle w:val="16"/>
          <w:rFonts w:hint="eastAsia" w:ascii="仿宋_GB2312" w:hAnsi="楷体" w:eastAsia="仿宋_GB2312"/>
          <w:b w:val="0"/>
          <w:spacing w:val="-4"/>
          <w:sz w:val="28"/>
          <w:szCs w:val="28"/>
        </w:rPr>
        <w:t>。</w:t>
      </w:r>
    </w:p>
    <w:p>
      <w:pPr>
        <w:pStyle w:val="5"/>
        <w:spacing w:line="360" w:lineRule="auto"/>
        <w:ind w:firstLine="562" w:firstLineChars="200"/>
        <w:rPr>
          <w:rStyle w:val="16"/>
          <w:rFonts w:ascii="仿宋" w:hAnsi="仿宋" w:eastAsia="仿宋"/>
          <w:b/>
          <w:bCs/>
        </w:rPr>
      </w:pPr>
      <w:bookmarkStart w:id="17" w:name="_Toc70450305"/>
      <w:r>
        <w:rPr>
          <w:rStyle w:val="16"/>
          <w:rFonts w:hint="eastAsia" w:ascii="仿宋" w:hAnsi="仿宋" w:eastAsia="仿宋"/>
          <w:b/>
          <w:bCs/>
        </w:rPr>
        <w:t>3、专项资金管理情况</w:t>
      </w:r>
      <w:bookmarkEnd w:id="17"/>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w:t>
      </w:r>
      <w:r>
        <w:rPr>
          <w:rStyle w:val="16"/>
          <w:rFonts w:hint="eastAsia" w:ascii="仿宋_GB2312" w:hAnsi="楷体" w:eastAsia="仿宋_GB2312"/>
          <w:b w:val="0"/>
          <w:spacing w:val="-4"/>
          <w:sz w:val="28"/>
          <w:szCs w:val="28"/>
          <w:lang w:val="en-US" w:eastAsia="zh-CN"/>
        </w:rPr>
        <w:t>我单位主要</w:t>
      </w:r>
      <w:r>
        <w:rPr>
          <w:rStyle w:val="16"/>
          <w:rFonts w:hint="eastAsia" w:ascii="仿宋_GB2312" w:hAnsi="楷体" w:eastAsia="仿宋_GB2312"/>
          <w:b w:val="0"/>
          <w:spacing w:val="-4"/>
          <w:sz w:val="28"/>
          <w:szCs w:val="28"/>
        </w:rPr>
        <w:t>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w:t>
      </w:r>
      <w:r>
        <w:rPr>
          <w:rStyle w:val="16"/>
          <w:rFonts w:hint="eastAsia" w:ascii="仿宋_GB2312" w:hAnsi="楷体" w:eastAsia="仿宋_GB2312"/>
          <w:b w:val="0"/>
          <w:spacing w:val="-4"/>
          <w:sz w:val="28"/>
          <w:szCs w:val="28"/>
          <w:lang w:eastAsia="zh-CN"/>
        </w:rPr>
        <w:t>喀拉托海镇工程建设管理制度</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eastAsia="zh-CN"/>
        </w:rPr>
        <w:t>喀拉托海镇收入支出财务制度</w:t>
      </w:r>
      <w:r>
        <w:rPr>
          <w:rStyle w:val="16"/>
          <w:rFonts w:hint="eastAsia" w:ascii="仿宋_GB2312" w:hAnsi="楷体" w:eastAsia="仿宋_GB2312"/>
          <w:b w:val="0"/>
          <w:spacing w:val="-4"/>
          <w:sz w:val="28"/>
          <w:szCs w:val="28"/>
        </w:rPr>
        <w:t>》专项资金管理办法，各项资金使用审批流程均按规定办理。涉及“三重一大”内容，严格按照规定提请</w:t>
      </w:r>
      <w:r>
        <w:rPr>
          <w:rStyle w:val="16"/>
          <w:rFonts w:hint="eastAsia" w:ascii="仿宋_GB2312" w:hAnsi="楷体" w:eastAsia="仿宋_GB2312"/>
          <w:b w:val="0"/>
          <w:spacing w:val="-4"/>
          <w:sz w:val="28"/>
          <w:szCs w:val="28"/>
          <w:lang w:eastAsia="zh-CN"/>
        </w:rPr>
        <w:t>镇</w:t>
      </w:r>
      <w:r>
        <w:rPr>
          <w:rStyle w:val="16"/>
          <w:rFonts w:hint="eastAsia" w:ascii="仿宋_GB2312" w:hAnsi="楷体" w:eastAsia="仿宋_GB2312"/>
          <w:b w:val="0"/>
          <w:spacing w:val="-4"/>
          <w:sz w:val="28"/>
          <w:szCs w:val="28"/>
        </w:rPr>
        <w:t>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w:t>
      </w:r>
      <w:r>
        <w:rPr>
          <w:rStyle w:val="16"/>
          <w:rFonts w:hint="eastAsia" w:ascii="仿宋_GB2312" w:hAnsi="楷体" w:eastAsia="仿宋_GB2312"/>
          <w:b w:val="0"/>
          <w:spacing w:val="-4"/>
          <w:sz w:val="28"/>
          <w:szCs w:val="28"/>
          <w:lang w:eastAsia="zh-CN"/>
        </w:rPr>
        <w:t>喀拉托海镇项目建设</w:t>
      </w:r>
      <w:r>
        <w:rPr>
          <w:rStyle w:val="16"/>
          <w:rFonts w:hint="eastAsia" w:ascii="仿宋_GB2312" w:hAnsi="楷体" w:eastAsia="仿宋_GB2312"/>
          <w:b w:val="0"/>
          <w:spacing w:val="-4"/>
          <w:sz w:val="28"/>
          <w:szCs w:val="28"/>
        </w:rPr>
        <w:t>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w:t>
      </w:r>
      <w:r>
        <w:rPr>
          <w:rStyle w:val="16"/>
          <w:rFonts w:hint="eastAsia" w:ascii="仿宋_GB2312" w:hAnsi="楷体" w:eastAsia="仿宋_GB2312"/>
          <w:b w:val="0"/>
          <w:spacing w:val="-4"/>
          <w:sz w:val="28"/>
          <w:szCs w:val="28"/>
          <w:lang w:eastAsia="zh-CN"/>
        </w:rPr>
        <w:t>喀拉托海镇</w:t>
      </w:r>
      <w:r>
        <w:rPr>
          <w:rStyle w:val="16"/>
          <w:rFonts w:hint="eastAsia" w:ascii="仿宋_GB2312" w:hAnsi="楷体" w:eastAsia="仿宋_GB2312"/>
          <w:b w:val="0"/>
          <w:spacing w:val="-4"/>
          <w:sz w:val="28"/>
          <w:szCs w:val="28"/>
        </w:rPr>
        <w:t>项目实施方案，确保项目</w:t>
      </w:r>
      <w:r>
        <w:rPr>
          <w:rStyle w:val="16"/>
          <w:rFonts w:hint="eastAsia" w:ascii="仿宋_GB2312" w:hAnsi="楷体" w:eastAsia="仿宋_GB2312"/>
          <w:b w:val="0"/>
          <w:spacing w:val="-4"/>
          <w:sz w:val="28"/>
          <w:szCs w:val="28"/>
          <w:lang w:eastAsia="zh-CN"/>
        </w:rPr>
        <w:t>有效实施</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w:t>
      </w:r>
      <w:r>
        <w:rPr>
          <w:rStyle w:val="16"/>
          <w:rFonts w:hint="eastAsia" w:ascii="仿宋_GB2312" w:hAnsi="楷体" w:eastAsia="仿宋_GB2312"/>
          <w:b w:val="0"/>
          <w:spacing w:val="-4"/>
          <w:sz w:val="28"/>
          <w:szCs w:val="28"/>
          <w:lang w:eastAsia="zh-CN"/>
        </w:rPr>
        <w:t>喀拉托海镇</w:t>
      </w:r>
      <w:r>
        <w:rPr>
          <w:rStyle w:val="16"/>
          <w:rFonts w:hint="eastAsia" w:ascii="仿宋_GB2312" w:hAnsi="楷体" w:eastAsia="仿宋_GB2312"/>
          <w:b w:val="0"/>
          <w:spacing w:val="-4"/>
          <w:sz w:val="28"/>
          <w:szCs w:val="28"/>
        </w:rPr>
        <w:t>项目验收，确保</w:t>
      </w:r>
      <w:r>
        <w:rPr>
          <w:rStyle w:val="16"/>
          <w:rFonts w:hint="eastAsia" w:ascii="仿宋_GB2312" w:hAnsi="楷体" w:eastAsia="仿宋_GB2312"/>
          <w:b w:val="0"/>
          <w:spacing w:val="-4"/>
          <w:sz w:val="28"/>
          <w:szCs w:val="28"/>
          <w:lang w:eastAsia="zh-CN"/>
        </w:rPr>
        <w:t>项目顺利落实</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w:t>
      </w:r>
      <w:r>
        <w:rPr>
          <w:rStyle w:val="16"/>
          <w:rFonts w:hint="eastAsia" w:ascii="仿宋_GB2312" w:hAnsi="楷体" w:eastAsia="仿宋_GB2312"/>
          <w:b w:val="0"/>
          <w:spacing w:val="-4"/>
          <w:sz w:val="28"/>
          <w:szCs w:val="28"/>
          <w:lang w:eastAsia="zh-CN"/>
        </w:rPr>
        <w:t>新疆维吾尔自治区财政厅</w:t>
      </w:r>
      <w:r>
        <w:rPr>
          <w:rFonts w:hint="eastAsia" w:ascii="仿宋_GB2312" w:eastAsia="仿宋_GB2312"/>
          <w:sz w:val="28"/>
          <w:szCs w:val="36"/>
        </w:rPr>
        <w:t>《</w:t>
      </w:r>
      <w:r>
        <w:rPr>
          <w:rFonts w:hint="eastAsia" w:ascii="仿宋_GB2312" w:eastAsia="仿宋_GB2312"/>
          <w:sz w:val="28"/>
          <w:szCs w:val="36"/>
          <w:lang w:eastAsia="zh-CN"/>
        </w:rPr>
        <w:t>新疆维吾尔自治区</w:t>
      </w:r>
      <w:r>
        <w:rPr>
          <w:rFonts w:hint="eastAsia" w:ascii="仿宋_GB2312" w:eastAsia="仿宋_GB2312"/>
          <w:sz w:val="28"/>
          <w:szCs w:val="36"/>
          <w:lang w:val="en-US" w:eastAsia="zh-CN"/>
        </w:rPr>
        <w:t>2021-2022年度政府采购集中采购目录及标准</w:t>
      </w:r>
      <w:r>
        <w:rPr>
          <w:rFonts w:hint="eastAsia" w:ascii="仿宋_GB2312" w:eastAsia="仿宋_GB2312"/>
          <w:sz w:val="28"/>
          <w:szCs w:val="36"/>
        </w:rPr>
        <w:t>》</w:t>
      </w:r>
      <w:r>
        <w:rPr>
          <w:rStyle w:val="16"/>
          <w:rFonts w:hint="eastAsia" w:ascii="仿宋_GB2312" w:hAnsi="楷体" w:eastAsia="仿宋_GB2312"/>
          <w:b w:val="0"/>
          <w:spacing w:val="-4"/>
          <w:sz w:val="28"/>
          <w:szCs w:val="28"/>
        </w:rPr>
        <w:t>组织人员制定采购计划，按照财政局采购部门批复，进行公开招标、邀请招标等方式进行。</w:t>
      </w:r>
    </w:p>
    <w:p>
      <w:pPr>
        <w:pStyle w:val="3"/>
        <w:spacing w:line="360" w:lineRule="auto"/>
        <w:rPr>
          <w:rFonts w:ascii="仿宋" w:hAnsi="仿宋" w:eastAsia="仿宋"/>
          <w:sz w:val="36"/>
          <w:szCs w:val="36"/>
          <w:lang w:bidi="ar"/>
        </w:rPr>
      </w:pPr>
      <w:bookmarkStart w:id="18" w:name="_Toc70450306"/>
      <w:r>
        <w:rPr>
          <w:rFonts w:hint="eastAsia" w:ascii="仿宋" w:hAnsi="仿宋" w:eastAsia="仿宋"/>
          <w:sz w:val="36"/>
          <w:szCs w:val="36"/>
          <w:lang w:bidi="ar"/>
        </w:rPr>
        <w:t>三、部门单位专项组织实施情况</w:t>
      </w:r>
      <w:bookmarkEnd w:id="18"/>
    </w:p>
    <w:p>
      <w:pPr>
        <w:spacing w:line="360" w:lineRule="auto"/>
        <w:ind w:firstLine="544" w:firstLineChars="200"/>
        <w:rPr>
          <w:rStyle w:val="16"/>
          <w:rFonts w:hint="default"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本单位2021年度未安排项目支出预算。</w:t>
      </w:r>
    </w:p>
    <w:p>
      <w:pPr>
        <w:pStyle w:val="3"/>
        <w:spacing w:line="360" w:lineRule="auto"/>
        <w:rPr>
          <w:rFonts w:ascii="仿宋" w:hAnsi="仿宋" w:eastAsia="仿宋"/>
          <w:sz w:val="36"/>
          <w:szCs w:val="36"/>
          <w:lang w:bidi="ar"/>
        </w:rPr>
      </w:pPr>
      <w:bookmarkStart w:id="19" w:name="_Toc70450310"/>
      <w:r>
        <w:rPr>
          <w:rFonts w:hint="eastAsia" w:ascii="仿宋" w:hAnsi="仿宋" w:eastAsia="仿宋"/>
          <w:sz w:val="36"/>
          <w:szCs w:val="36"/>
          <w:lang w:bidi="ar"/>
        </w:rPr>
        <w:t>四、资产管理情况</w:t>
      </w:r>
      <w:bookmarkEnd w:id="19"/>
    </w:p>
    <w:p>
      <w:pPr>
        <w:pStyle w:val="4"/>
        <w:spacing w:line="360" w:lineRule="auto"/>
        <w:rPr>
          <w:rStyle w:val="16"/>
          <w:rFonts w:ascii="仿宋" w:hAnsi="仿宋" w:eastAsia="仿宋"/>
          <w:b/>
          <w:bCs/>
        </w:rPr>
      </w:pPr>
      <w:bookmarkStart w:id="20" w:name="_Toc70450311"/>
      <w:r>
        <w:rPr>
          <w:rStyle w:val="16"/>
          <w:rFonts w:hint="eastAsia" w:ascii="仿宋" w:hAnsi="仿宋" w:eastAsia="仿宋"/>
          <w:b/>
          <w:bCs/>
        </w:rPr>
        <w:t>（一）资产配置情况</w:t>
      </w:r>
      <w:bookmarkEnd w:id="20"/>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年我单位资产总额</w:t>
      </w:r>
      <w:r>
        <w:rPr>
          <w:rStyle w:val="16"/>
          <w:rFonts w:hint="eastAsia" w:ascii="仿宋_GB2312" w:hAnsi="宋体" w:eastAsia="仿宋_GB2312"/>
          <w:b w:val="0"/>
          <w:bCs w:val="0"/>
          <w:spacing w:val="-4"/>
          <w:sz w:val="28"/>
          <w:szCs w:val="28"/>
          <w:lang w:val="en-US" w:eastAsia="zh-CN"/>
        </w:rPr>
        <w:t>448.75</w:t>
      </w:r>
      <w:r>
        <w:rPr>
          <w:rStyle w:val="16"/>
          <w:rFonts w:hint="eastAsia" w:ascii="仿宋_GB2312" w:hAnsi="宋体" w:eastAsia="仿宋_GB2312"/>
          <w:b w:val="0"/>
          <w:bCs w:val="0"/>
          <w:spacing w:val="-4"/>
          <w:sz w:val="28"/>
          <w:szCs w:val="28"/>
        </w:rPr>
        <w:t>万元，其中</w:t>
      </w:r>
      <w:r>
        <w:rPr>
          <w:rStyle w:val="16"/>
          <w:rFonts w:hint="eastAsia" w:ascii="仿宋_GB2312" w:hAnsi="宋体" w:eastAsia="仿宋_GB2312"/>
          <w:b w:val="0"/>
          <w:bCs w:val="0"/>
          <w:spacing w:val="-4"/>
          <w:sz w:val="28"/>
          <w:szCs w:val="28"/>
          <w:lang w:eastAsia="zh-CN"/>
        </w:rPr>
        <w:t>流动资产</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万元（其中</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），固定资产净值</w:t>
      </w:r>
      <w:r>
        <w:rPr>
          <w:rStyle w:val="16"/>
          <w:rFonts w:hint="eastAsia" w:ascii="仿宋_GB2312" w:hAnsi="宋体" w:eastAsia="仿宋_GB2312"/>
          <w:b w:val="0"/>
          <w:bCs w:val="0"/>
          <w:spacing w:val="-4"/>
          <w:sz w:val="28"/>
          <w:szCs w:val="28"/>
          <w:lang w:val="en-US" w:eastAsia="zh-CN"/>
        </w:rPr>
        <w:t>117.52</w:t>
      </w:r>
      <w:r>
        <w:rPr>
          <w:rStyle w:val="16"/>
          <w:rFonts w:hint="eastAsia" w:ascii="仿宋_GB2312" w:hAnsi="宋体" w:eastAsia="仿宋_GB2312"/>
          <w:b w:val="0"/>
          <w:bCs w:val="0"/>
          <w:spacing w:val="-4"/>
          <w:sz w:val="28"/>
          <w:szCs w:val="28"/>
        </w:rPr>
        <w:t>万元（其中：土地、房屋及构筑物</w:t>
      </w:r>
      <w:r>
        <w:rPr>
          <w:rStyle w:val="16"/>
          <w:rFonts w:ascii="仿宋_GB2312" w:hAnsi="宋体" w:eastAsia="仿宋_GB2312"/>
          <w:b w:val="0"/>
          <w:bCs w:val="0"/>
          <w:spacing w:val="-4"/>
          <w:sz w:val="28"/>
          <w:szCs w:val="28"/>
        </w:rPr>
        <w:t xml:space="preserve"> </w:t>
      </w:r>
      <w:r>
        <w:rPr>
          <w:rStyle w:val="16"/>
          <w:rFonts w:hint="eastAsia" w:ascii="仿宋_GB2312" w:hAnsi="宋体" w:eastAsia="仿宋_GB2312"/>
          <w:b w:val="0"/>
          <w:bCs w:val="0"/>
          <w:spacing w:val="-4"/>
          <w:sz w:val="28"/>
          <w:szCs w:val="28"/>
          <w:lang w:val="en-US" w:eastAsia="zh-CN"/>
        </w:rPr>
        <w:t>35.41</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30.13</w:t>
      </w:r>
      <w:r>
        <w:rPr>
          <w:rStyle w:val="16"/>
          <w:rFonts w:hint="eastAsia" w:ascii="仿宋_GB2312" w:hAnsi="宋体" w:eastAsia="仿宋_GB2312"/>
          <w:b w:val="0"/>
          <w:bCs w:val="0"/>
          <w:spacing w:val="-4"/>
          <w:sz w:val="28"/>
          <w:szCs w:val="28"/>
        </w:rPr>
        <w:t>%；通用设备</w:t>
      </w:r>
      <w:r>
        <w:rPr>
          <w:rStyle w:val="16"/>
          <w:rFonts w:hint="eastAsia" w:ascii="仿宋_GB2312" w:hAnsi="宋体" w:eastAsia="仿宋_GB2312"/>
          <w:b w:val="0"/>
          <w:bCs w:val="0"/>
          <w:spacing w:val="-4"/>
          <w:sz w:val="28"/>
          <w:szCs w:val="28"/>
          <w:lang w:val="en-US" w:eastAsia="zh-CN"/>
        </w:rPr>
        <w:t>41.96</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35.7</w:t>
      </w:r>
      <w:r>
        <w:rPr>
          <w:rStyle w:val="16"/>
          <w:rFonts w:hint="eastAsia" w:ascii="仿宋_GB2312" w:hAnsi="宋体" w:eastAsia="仿宋_GB2312"/>
          <w:b w:val="0"/>
          <w:bCs w:val="0"/>
          <w:spacing w:val="-4"/>
          <w:sz w:val="28"/>
          <w:szCs w:val="28"/>
        </w:rPr>
        <w:t>%；专用设备</w:t>
      </w:r>
      <w:r>
        <w:rPr>
          <w:rStyle w:val="16"/>
          <w:rFonts w:hint="eastAsia" w:ascii="仿宋_GB2312" w:hAnsi="宋体" w:eastAsia="仿宋_GB2312"/>
          <w:b w:val="0"/>
          <w:bCs w:val="0"/>
          <w:spacing w:val="-4"/>
          <w:sz w:val="28"/>
          <w:szCs w:val="28"/>
          <w:lang w:val="en-US" w:eastAsia="zh-CN"/>
        </w:rPr>
        <w:t>0.46</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0.39</w:t>
      </w:r>
      <w:r>
        <w:rPr>
          <w:rStyle w:val="16"/>
          <w:rFonts w:hint="eastAsia" w:ascii="仿宋_GB2312" w:hAnsi="宋体" w:eastAsia="仿宋_GB2312"/>
          <w:b w:val="0"/>
          <w:bCs w:val="0"/>
          <w:spacing w:val="-4"/>
          <w:sz w:val="28"/>
          <w:szCs w:val="28"/>
        </w:rPr>
        <w:t>%；其他</w:t>
      </w:r>
      <w:r>
        <w:rPr>
          <w:rStyle w:val="16"/>
          <w:rFonts w:hint="eastAsia" w:ascii="仿宋_GB2312" w:hAnsi="宋体" w:eastAsia="仿宋_GB2312"/>
          <w:b w:val="0"/>
          <w:bCs w:val="0"/>
          <w:spacing w:val="-4"/>
          <w:sz w:val="28"/>
          <w:szCs w:val="28"/>
          <w:lang w:val="en-US" w:eastAsia="zh-CN"/>
        </w:rPr>
        <w:t>39.69万元，</w:t>
      </w:r>
      <w:r>
        <w:rPr>
          <w:rStyle w:val="16"/>
          <w:rFonts w:hint="eastAsia" w:ascii="仿宋_GB2312" w:hAnsi="宋体" w:eastAsia="仿宋_GB2312"/>
          <w:b w:val="0"/>
          <w:bCs w:val="0"/>
          <w:spacing w:val="-4"/>
          <w:sz w:val="28"/>
          <w:szCs w:val="28"/>
        </w:rPr>
        <w:t>占固定资产净值的</w:t>
      </w:r>
      <w:r>
        <w:rPr>
          <w:rStyle w:val="16"/>
          <w:rFonts w:hint="eastAsia" w:ascii="仿宋_GB2312" w:hAnsi="宋体" w:eastAsia="仿宋_GB2312"/>
          <w:b w:val="0"/>
          <w:bCs w:val="0"/>
          <w:spacing w:val="-4"/>
          <w:sz w:val="28"/>
          <w:szCs w:val="28"/>
          <w:lang w:val="en-US" w:eastAsia="zh-CN"/>
        </w:rPr>
        <w:t>33.77%</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本年度流动资产</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万元，比上年增加（减少）</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eastAsia="zh-CN"/>
        </w:rPr>
        <w:t>无</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w:t>
      </w:r>
      <w:r>
        <w:rPr>
          <w:rStyle w:val="16"/>
          <w:rFonts w:hint="eastAsia" w:ascii="仿宋_GB2312" w:hAnsi="宋体" w:eastAsia="仿宋_GB2312"/>
          <w:b w:val="0"/>
          <w:bCs w:val="0"/>
          <w:spacing w:val="-4"/>
          <w:sz w:val="28"/>
          <w:szCs w:val="28"/>
          <w:lang w:val="en-US" w:eastAsia="zh-CN"/>
        </w:rPr>
        <w:t>448.75</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18</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eastAsia="zh-CN"/>
        </w:rPr>
        <w:t>新入固定资产</w:t>
      </w:r>
      <w:r>
        <w:rPr>
          <w:rStyle w:val="16"/>
          <w:rFonts w:hint="eastAsia" w:ascii="仿宋_GB2312" w:hAnsi="宋体" w:eastAsia="仿宋_GB2312"/>
          <w:b w:val="0"/>
          <w:bCs w:val="0"/>
          <w:spacing w:val="-4"/>
          <w:sz w:val="28"/>
          <w:szCs w:val="28"/>
        </w:rPr>
        <w:t>。</w:t>
      </w:r>
    </w:p>
    <w:p>
      <w:pPr>
        <w:snapToGrid w:val="0"/>
        <w:spacing w:line="360" w:lineRule="auto"/>
        <w:ind w:firstLine="544" w:firstLineChars="200"/>
        <w:rPr>
          <w:rStyle w:val="16"/>
          <w:rFonts w:hint="eastAsia" w:ascii="宋体" w:hAnsi="宋体" w:eastAsia="仿宋_GB2312"/>
          <w:bCs w:val="0"/>
          <w:color w:val="FF0000"/>
          <w:spacing w:val="-4"/>
          <w:sz w:val="28"/>
          <w:szCs w:val="28"/>
          <w:lang w:val="en-US" w:eastAsia="zh-CN"/>
        </w:rPr>
      </w:pPr>
      <w:r>
        <w:rPr>
          <w:rStyle w:val="16"/>
          <w:rFonts w:hint="eastAsia" w:ascii="仿宋_GB2312" w:hAnsi="宋体" w:eastAsia="仿宋_GB2312"/>
          <w:b w:val="0"/>
          <w:bCs w:val="0"/>
          <w:spacing w:val="-4"/>
          <w:sz w:val="28"/>
          <w:szCs w:val="28"/>
        </w:rPr>
        <w:t>实际在用固定资产</w:t>
      </w:r>
      <w:r>
        <w:rPr>
          <w:rStyle w:val="16"/>
          <w:rFonts w:hint="eastAsia" w:ascii="仿宋_GB2312" w:hAnsi="宋体" w:eastAsia="仿宋_GB2312"/>
          <w:b w:val="0"/>
          <w:bCs w:val="0"/>
          <w:spacing w:val="-4"/>
          <w:sz w:val="28"/>
          <w:szCs w:val="28"/>
          <w:lang w:val="en-US" w:eastAsia="zh-CN"/>
        </w:rPr>
        <w:t>448.75</w:t>
      </w:r>
      <w:r>
        <w:rPr>
          <w:rStyle w:val="16"/>
          <w:rFonts w:hint="eastAsia" w:ascii="仿宋_GB2312" w:hAnsi="宋体" w:eastAsia="仿宋_GB2312"/>
          <w:b w:val="0"/>
          <w:bCs w:val="0"/>
          <w:spacing w:val="-4"/>
          <w:sz w:val="28"/>
          <w:szCs w:val="28"/>
        </w:rPr>
        <w:t>万元，固定资产利用率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eastAsia="zh-CN"/>
        </w:rPr>
        <w:t>。</w:t>
      </w:r>
    </w:p>
    <w:p>
      <w:pPr>
        <w:pStyle w:val="4"/>
        <w:tabs>
          <w:tab w:val="center" w:pos="4153"/>
        </w:tabs>
        <w:spacing w:line="360" w:lineRule="auto"/>
        <w:rPr>
          <w:rStyle w:val="16"/>
          <w:rFonts w:hint="eastAsia" w:ascii="仿宋" w:hAnsi="仿宋" w:eastAsia="仿宋"/>
          <w:b/>
          <w:bCs/>
          <w:lang w:eastAsia="zh-CN"/>
        </w:rPr>
      </w:pPr>
      <w:bookmarkStart w:id="21" w:name="_Toc70450312"/>
      <w:r>
        <w:rPr>
          <w:rStyle w:val="16"/>
          <w:rFonts w:hint="eastAsia" w:ascii="仿宋" w:hAnsi="仿宋" w:eastAsia="仿宋"/>
          <w:b/>
          <w:bCs/>
        </w:rPr>
        <w:t>（二）资产管理情况</w:t>
      </w:r>
      <w:bookmarkEnd w:id="21"/>
      <w:r>
        <w:rPr>
          <w:rStyle w:val="16"/>
          <w:rFonts w:hint="eastAsia" w:ascii="仿宋" w:hAnsi="仿宋" w:eastAsia="仿宋"/>
          <w:b/>
          <w:bCs/>
          <w:lang w:eastAsia="zh-CN"/>
        </w:rPr>
        <w:tab/>
      </w:r>
    </w:p>
    <w:p>
      <w:pPr>
        <w:spacing w:line="360" w:lineRule="auto"/>
        <w:ind w:firstLine="544" w:firstLineChars="200"/>
        <w:rPr>
          <w:rStyle w:val="16"/>
          <w:rFonts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b w:val="0"/>
          <w:color w:val="auto"/>
          <w:spacing w:val="-4"/>
          <w:sz w:val="28"/>
          <w:szCs w:val="28"/>
        </w:rPr>
      </w:pPr>
      <w:r>
        <w:rPr>
          <w:rStyle w:val="16"/>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6"/>
          <w:rFonts w:ascii="仿宋_GB2312" w:hAnsi="宋体" w:eastAsia="仿宋_GB2312"/>
          <w:b w:val="0"/>
          <w:spacing w:val="-4"/>
          <w:sz w:val="28"/>
          <w:szCs w:val="28"/>
        </w:rPr>
      </w:pPr>
    </w:p>
    <w:p>
      <w:pPr>
        <w:pStyle w:val="3"/>
        <w:spacing w:line="360" w:lineRule="auto"/>
        <w:rPr>
          <w:rFonts w:ascii="仿宋" w:hAnsi="仿宋" w:eastAsia="仿宋"/>
          <w:sz w:val="36"/>
          <w:szCs w:val="36"/>
          <w:lang w:bidi="ar"/>
        </w:rPr>
      </w:pPr>
      <w:bookmarkStart w:id="22" w:name="_Toc70450313"/>
      <w:r>
        <w:rPr>
          <w:rFonts w:hint="eastAsia" w:ascii="仿宋" w:hAnsi="仿宋" w:eastAsia="仿宋"/>
          <w:sz w:val="36"/>
          <w:szCs w:val="36"/>
          <w:lang w:bidi="ar"/>
        </w:rPr>
        <w:t>五、部门单位整体支出绩效情况</w:t>
      </w:r>
      <w:bookmarkEnd w:id="22"/>
    </w:p>
    <w:p>
      <w:pPr>
        <w:pStyle w:val="4"/>
        <w:spacing w:line="360" w:lineRule="auto"/>
        <w:ind w:firstLine="643" w:firstLineChars="200"/>
        <w:rPr>
          <w:rStyle w:val="16"/>
          <w:rFonts w:ascii="仿宋" w:hAnsi="仿宋" w:eastAsia="仿宋"/>
          <w:b/>
          <w:bCs/>
        </w:rPr>
      </w:pPr>
      <w:bookmarkStart w:id="23" w:name="_Toc70450314"/>
      <w:r>
        <w:rPr>
          <w:rStyle w:val="16"/>
          <w:rFonts w:hint="eastAsia" w:ascii="仿宋" w:hAnsi="仿宋" w:eastAsia="仿宋"/>
          <w:b/>
          <w:bCs/>
        </w:rPr>
        <w:t>（一）经济效益评价</w:t>
      </w:r>
      <w:bookmarkEnd w:id="23"/>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年度我单位年初预算安排</w:t>
      </w:r>
      <w:r>
        <w:rPr>
          <w:rStyle w:val="16"/>
          <w:rFonts w:hint="eastAsia" w:ascii="仿宋_GB2312" w:hAnsi="宋体" w:eastAsia="仿宋_GB2312"/>
          <w:b w:val="0"/>
          <w:bCs w:val="0"/>
          <w:spacing w:val="-4"/>
          <w:sz w:val="28"/>
          <w:szCs w:val="28"/>
          <w:lang w:val="en-US" w:eastAsia="zh-CN"/>
        </w:rPr>
        <w:t>1596.17</w:t>
      </w:r>
      <w:r>
        <w:rPr>
          <w:rStyle w:val="16"/>
          <w:rFonts w:hint="eastAsia" w:ascii="仿宋_GB2312" w:hAnsi="宋体" w:eastAsia="仿宋_GB2312"/>
          <w:b w:val="0"/>
          <w:bCs w:val="0"/>
          <w:spacing w:val="-4"/>
          <w:sz w:val="28"/>
          <w:szCs w:val="28"/>
        </w:rPr>
        <w:t>万元，年中调整</w:t>
      </w:r>
      <w:r>
        <w:rPr>
          <w:rStyle w:val="16"/>
          <w:rFonts w:hint="eastAsia" w:ascii="仿宋_GB2312" w:hAnsi="宋体" w:eastAsia="仿宋_GB2312"/>
          <w:b w:val="0"/>
          <w:bCs w:val="0"/>
          <w:spacing w:val="-4"/>
          <w:sz w:val="28"/>
          <w:szCs w:val="28"/>
          <w:lang w:val="en-US" w:eastAsia="zh-CN"/>
        </w:rPr>
        <w:t>3466.41</w:t>
      </w:r>
      <w:r>
        <w:rPr>
          <w:rStyle w:val="16"/>
          <w:rFonts w:hint="eastAsia" w:ascii="仿宋_GB2312" w:hAnsi="宋体" w:eastAsia="仿宋_GB2312"/>
          <w:b w:val="0"/>
          <w:bCs w:val="0"/>
          <w:spacing w:val="-4"/>
          <w:sz w:val="28"/>
          <w:szCs w:val="28"/>
        </w:rPr>
        <w:t>万元，截止12月底支出</w:t>
      </w:r>
      <w:r>
        <w:rPr>
          <w:rStyle w:val="16"/>
          <w:rFonts w:hint="eastAsia" w:ascii="仿宋_GB2312" w:hAnsi="宋体" w:eastAsia="仿宋_GB2312"/>
          <w:b w:val="0"/>
          <w:bCs w:val="0"/>
          <w:spacing w:val="-4"/>
          <w:sz w:val="28"/>
          <w:szCs w:val="28"/>
          <w:lang w:val="en-US" w:eastAsia="zh-CN"/>
        </w:rPr>
        <w:t>5062.58</w:t>
      </w:r>
      <w:r>
        <w:rPr>
          <w:rStyle w:val="16"/>
          <w:rFonts w:hint="eastAsia" w:ascii="仿宋_GB2312" w:hAnsi="宋体" w:eastAsia="仿宋_GB2312"/>
          <w:b w:val="0"/>
          <w:bCs w:val="0"/>
          <w:spacing w:val="-4"/>
          <w:sz w:val="28"/>
          <w:szCs w:val="28"/>
        </w:rPr>
        <w:t>万元，执行率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1</w:t>
      </w:r>
      <w:r>
        <w:rPr>
          <w:rStyle w:val="16"/>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、全年按照部门预算进行成本控制，全部控制在厉行节约指标数内。其他支出按财政部门下达的计划实施，全年没有项目超支（若有超支请详细说明情况）。</w:t>
      </w:r>
    </w:p>
    <w:p>
      <w:pPr>
        <w:pStyle w:val="4"/>
        <w:spacing w:line="360" w:lineRule="auto"/>
        <w:ind w:firstLine="643" w:firstLineChars="200"/>
        <w:rPr>
          <w:rStyle w:val="16"/>
          <w:rFonts w:ascii="仿宋" w:hAnsi="仿宋" w:eastAsia="仿宋"/>
          <w:b/>
          <w:bCs/>
        </w:rPr>
      </w:pPr>
      <w:bookmarkStart w:id="24" w:name="_Toc70450315"/>
      <w:r>
        <w:rPr>
          <w:rStyle w:val="16"/>
          <w:rFonts w:hint="eastAsia" w:ascii="仿宋" w:hAnsi="仿宋" w:eastAsia="仿宋"/>
          <w:b/>
          <w:bCs/>
        </w:rPr>
        <w:t>（二）效率性评价</w:t>
      </w:r>
      <w:bookmarkEnd w:id="24"/>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年，在</w:t>
      </w:r>
      <w:r>
        <w:rPr>
          <w:rStyle w:val="16"/>
          <w:rFonts w:hint="eastAsia" w:ascii="仿宋_GB2312" w:hAnsi="宋体" w:eastAsia="仿宋_GB2312"/>
          <w:b w:val="0"/>
          <w:bCs w:val="0"/>
          <w:spacing w:val="-4"/>
          <w:sz w:val="28"/>
          <w:szCs w:val="28"/>
          <w:lang w:val="en-US" w:eastAsia="zh-CN"/>
        </w:rPr>
        <w:t>特克斯县喀拉托海镇人民政府</w:t>
      </w:r>
      <w:r>
        <w:rPr>
          <w:rStyle w:val="16"/>
          <w:rFonts w:hint="eastAsia" w:ascii="仿宋_GB2312" w:hAnsi="宋体" w:eastAsia="仿宋_GB2312"/>
          <w:b w:val="0"/>
          <w:bCs w:val="0"/>
          <w:spacing w:val="-4"/>
          <w:sz w:val="28"/>
          <w:szCs w:val="28"/>
        </w:rPr>
        <w:t>大力支持和</w:t>
      </w:r>
      <w:r>
        <w:rPr>
          <w:rStyle w:val="16"/>
          <w:rFonts w:hint="eastAsia" w:ascii="仿宋_GB2312" w:hAnsi="宋体" w:eastAsia="仿宋_GB2312"/>
          <w:b w:val="0"/>
          <w:bCs w:val="0"/>
          <w:spacing w:val="-4"/>
          <w:sz w:val="28"/>
          <w:szCs w:val="28"/>
          <w:lang w:val="en-US" w:eastAsia="zh-CN"/>
        </w:rPr>
        <w:t>上级部门</w:t>
      </w:r>
      <w:r>
        <w:rPr>
          <w:rStyle w:val="16"/>
          <w:rFonts w:hint="eastAsia" w:ascii="仿宋_GB2312" w:hAnsi="宋体" w:eastAsia="仿宋_GB2312"/>
          <w:b w:val="0"/>
          <w:bCs w:val="0"/>
          <w:spacing w:val="-4"/>
          <w:sz w:val="28"/>
          <w:szCs w:val="28"/>
        </w:rPr>
        <w:t>的正确领导下，我</w:t>
      </w:r>
      <w:r>
        <w:rPr>
          <w:rStyle w:val="16"/>
          <w:rFonts w:hint="eastAsia" w:ascii="仿宋_GB2312" w:hAnsi="楷体" w:eastAsia="仿宋_GB2312"/>
          <w:b w:val="0"/>
          <w:spacing w:val="-4"/>
          <w:sz w:val="28"/>
          <w:szCs w:val="28"/>
        </w:rPr>
        <w:t>部门</w:t>
      </w:r>
      <w:r>
        <w:rPr>
          <w:rStyle w:val="16"/>
          <w:rFonts w:hint="eastAsia" w:ascii="仿宋_GB2312" w:hAnsi="楷体" w:eastAsia="仿宋_GB2312"/>
          <w:b w:val="0"/>
          <w:color w:val="auto"/>
          <w:spacing w:val="-4"/>
          <w:sz w:val="28"/>
          <w:szCs w:val="28"/>
          <w:lang w:val="en-US" w:eastAsia="zh-CN"/>
        </w:rPr>
        <w:t>单位</w:t>
      </w:r>
      <w:r>
        <w:rPr>
          <w:rStyle w:val="16"/>
          <w:rFonts w:hint="eastAsia" w:ascii="仿宋_GB2312" w:hAnsi="宋体" w:eastAsia="仿宋_GB2312"/>
          <w:b w:val="0"/>
          <w:bCs w:val="0"/>
          <w:spacing w:val="-4"/>
          <w:sz w:val="28"/>
          <w:szCs w:val="28"/>
        </w:rPr>
        <w:t>迎难而上、务实重干，积极推动各项</w:t>
      </w:r>
      <w:r>
        <w:rPr>
          <w:rStyle w:val="16"/>
          <w:rFonts w:hint="eastAsia" w:ascii="仿宋_GB2312" w:hAnsi="宋体" w:eastAsia="仿宋_GB2312"/>
          <w:b w:val="0"/>
          <w:bCs w:val="0"/>
          <w:spacing w:val="-4"/>
          <w:sz w:val="28"/>
          <w:szCs w:val="28"/>
          <w:lang w:val="en-US" w:eastAsia="zh-CN"/>
        </w:rPr>
        <w:t>财政</w:t>
      </w:r>
      <w:r>
        <w:rPr>
          <w:rStyle w:val="16"/>
          <w:rFonts w:hint="eastAsia" w:ascii="仿宋_GB2312" w:hAnsi="宋体" w:eastAsia="仿宋_GB2312"/>
          <w:b w:val="0"/>
          <w:bCs w:val="0"/>
          <w:spacing w:val="-4"/>
          <w:sz w:val="28"/>
          <w:szCs w:val="28"/>
        </w:rPr>
        <w:t>工作取得了新的进展，为促进经济持续健康发展与社会和谐稳定提供了有力的</w:t>
      </w:r>
      <w:r>
        <w:rPr>
          <w:rStyle w:val="16"/>
          <w:rFonts w:hint="eastAsia" w:ascii="仿宋_GB2312" w:hAnsi="宋体" w:eastAsia="仿宋_GB2312"/>
          <w:b w:val="0"/>
          <w:bCs w:val="0"/>
          <w:spacing w:val="-4"/>
          <w:sz w:val="28"/>
          <w:szCs w:val="28"/>
          <w:lang w:val="en-US" w:eastAsia="zh-CN"/>
        </w:rPr>
        <w:t>财政</w:t>
      </w:r>
      <w:r>
        <w:rPr>
          <w:rStyle w:val="16"/>
          <w:rFonts w:hint="eastAsia" w:ascii="仿宋_GB2312" w:hAnsi="宋体" w:eastAsia="仿宋_GB2312"/>
          <w:b w:val="0"/>
          <w:bCs w:val="0"/>
          <w:spacing w:val="-4"/>
          <w:sz w:val="28"/>
          <w:szCs w:val="28"/>
        </w:rPr>
        <w:t>支撑和保障。</w:t>
      </w:r>
    </w:p>
    <w:p>
      <w:pPr>
        <w:spacing w:line="360" w:lineRule="auto"/>
        <w:ind w:firstLine="544" w:firstLineChars="200"/>
        <w:rPr>
          <w:rStyle w:val="16"/>
          <w:rFonts w:hint="eastAsia" w:ascii="仿宋_GB2312" w:hAnsi="宋体" w:eastAsia="仿宋_GB2312"/>
          <w:b w:val="0"/>
          <w:bCs w:val="0"/>
          <w:spacing w:val="-4"/>
          <w:sz w:val="28"/>
          <w:szCs w:val="28"/>
          <w:lang w:eastAsia="zh-CN"/>
        </w:rPr>
      </w:pPr>
      <w:r>
        <w:rPr>
          <w:rStyle w:val="16"/>
          <w:rFonts w:hint="eastAsia" w:ascii="仿宋_GB2312" w:hAnsi="宋体" w:eastAsia="仿宋_GB2312"/>
          <w:b w:val="0"/>
          <w:bCs w:val="0"/>
          <w:spacing w:val="-4"/>
          <w:sz w:val="28"/>
          <w:szCs w:val="28"/>
        </w:rPr>
        <w:t>1、圆满完成</w:t>
      </w:r>
      <w:r>
        <w:rPr>
          <w:rStyle w:val="16"/>
          <w:rFonts w:hint="eastAsia" w:ascii="仿宋_GB2312" w:hAnsi="宋体" w:eastAsia="仿宋_GB2312"/>
          <w:b w:val="0"/>
          <w:bCs w:val="0"/>
          <w:spacing w:val="-4"/>
          <w:sz w:val="28"/>
          <w:szCs w:val="28"/>
          <w:lang w:val="en-US" w:eastAsia="zh-CN"/>
        </w:rPr>
        <w:t>年初预算安排的各项</w:t>
      </w:r>
      <w:r>
        <w:rPr>
          <w:rStyle w:val="16"/>
          <w:rFonts w:hint="eastAsia" w:ascii="仿宋_GB2312" w:hAnsi="宋体" w:eastAsia="仿宋_GB2312"/>
          <w:b w:val="0"/>
          <w:bCs w:val="0"/>
          <w:spacing w:val="-4"/>
          <w:sz w:val="28"/>
          <w:szCs w:val="28"/>
        </w:rPr>
        <w:t>工作</w:t>
      </w:r>
      <w:r>
        <w:rPr>
          <w:rStyle w:val="16"/>
          <w:rFonts w:hint="eastAsia" w:ascii="仿宋_GB2312" w:hAnsi="宋体" w:eastAsia="仿宋_GB2312"/>
          <w:b w:val="0"/>
          <w:bCs w:val="0"/>
          <w:spacing w:val="-4"/>
          <w:sz w:val="28"/>
          <w:szCs w:val="28"/>
          <w:lang w:eastAsia="zh-CN"/>
        </w:rPr>
        <w:t>。</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lang w:val="en-US" w:eastAsia="zh-CN"/>
        </w:rPr>
        <w:t>1、按时完成2021年预算支出；2、按时完成2021年项目专项资金支付；3、按时完成2021年13个项目竣工；4按时完成其他各类财务日常工作</w:t>
      </w:r>
      <w:r>
        <w:rPr>
          <w:rStyle w:val="16"/>
          <w:rFonts w:hint="eastAsia" w:ascii="仿宋_GB2312" w:hAnsi="宋体" w:eastAsia="仿宋_GB2312"/>
          <w:b w:val="0"/>
          <w:bCs w:val="0"/>
          <w:spacing w:val="-4"/>
          <w:sz w:val="28"/>
          <w:szCs w:val="28"/>
        </w:rPr>
        <w:t>。</w:t>
      </w:r>
    </w:p>
    <w:p>
      <w:pPr>
        <w:tabs>
          <w:tab w:val="left" w:pos="312"/>
        </w:tabs>
        <w:spacing w:line="360" w:lineRule="auto"/>
        <w:ind w:firstLine="544" w:firstLineChars="200"/>
        <w:rPr>
          <w:rStyle w:val="16"/>
          <w:rFonts w:hint="default" w:ascii="仿宋_GB2312" w:hAnsi="宋体" w:eastAsia="仿宋_GB2312"/>
          <w:b w:val="0"/>
          <w:bCs w:val="0"/>
          <w:spacing w:val="-4"/>
          <w:sz w:val="28"/>
          <w:szCs w:val="28"/>
          <w:lang w:val="en-US"/>
        </w:rPr>
      </w:pPr>
      <w:r>
        <w:rPr>
          <w:rStyle w:val="16"/>
          <w:rFonts w:ascii="仿宋_GB2312" w:hAnsi="宋体" w:eastAsia="仿宋_GB2312"/>
          <w:b w:val="0"/>
          <w:bCs w:val="0"/>
          <w:spacing w:val="-4"/>
          <w:sz w:val="28"/>
          <w:szCs w:val="28"/>
        </w:rPr>
        <w:t>2</w:t>
      </w:r>
      <w:r>
        <w:rPr>
          <w:rStyle w:val="16"/>
          <w:rFonts w:hint="eastAsia" w:ascii="仿宋_GB2312" w:hAnsi="宋体" w:eastAsia="仿宋_GB2312"/>
          <w:b w:val="0"/>
          <w:bCs w:val="0"/>
          <w:spacing w:val="-4"/>
          <w:sz w:val="28"/>
          <w:szCs w:val="28"/>
        </w:rPr>
        <w:t>、</w:t>
      </w:r>
      <w:r>
        <w:rPr>
          <w:rStyle w:val="16"/>
          <w:rFonts w:hint="eastAsia" w:ascii="仿宋_GB2312" w:hAnsi="宋体" w:eastAsia="仿宋_GB2312"/>
          <w:b w:val="0"/>
          <w:bCs w:val="0"/>
          <w:spacing w:val="-4"/>
          <w:sz w:val="28"/>
          <w:szCs w:val="28"/>
          <w:lang w:val="en-US" w:eastAsia="zh-CN"/>
        </w:rPr>
        <w:t>2021年提前完成13个项目的进度</w:t>
      </w:r>
      <w:r>
        <w:rPr>
          <w:rStyle w:val="16"/>
          <w:rFonts w:hint="eastAsia" w:ascii="仿宋_GB2312" w:hAnsi="宋体" w:eastAsia="仿宋_GB2312"/>
          <w:b w:val="0"/>
          <w:bCs w:val="0"/>
          <w:spacing w:val="-4"/>
          <w:sz w:val="28"/>
          <w:szCs w:val="28"/>
        </w:rPr>
        <w:t>任务</w:t>
      </w:r>
      <w:r>
        <w:rPr>
          <w:rStyle w:val="16"/>
          <w:rFonts w:hint="eastAsia" w:ascii="仿宋_GB2312" w:hAnsi="宋体" w:eastAsia="仿宋_GB2312"/>
          <w:b w:val="0"/>
          <w:bCs w:val="0"/>
          <w:spacing w:val="-4"/>
          <w:sz w:val="28"/>
          <w:szCs w:val="28"/>
          <w:lang w:eastAsia="zh-CN"/>
        </w:rPr>
        <w:t>，</w:t>
      </w:r>
      <w:r>
        <w:rPr>
          <w:rStyle w:val="16"/>
          <w:rFonts w:hint="eastAsia" w:ascii="仿宋_GB2312" w:hAnsi="宋体" w:eastAsia="仿宋_GB2312"/>
          <w:b w:val="0"/>
          <w:bCs w:val="0"/>
          <w:spacing w:val="-4"/>
          <w:sz w:val="28"/>
          <w:szCs w:val="28"/>
          <w:lang w:val="en-US" w:eastAsia="zh-CN"/>
        </w:rPr>
        <w:t>提前完成各类财务工作；财务绩效考核提前完成。</w:t>
      </w:r>
    </w:p>
    <w:p>
      <w:pPr>
        <w:pStyle w:val="20"/>
        <w:numPr>
          <w:ilvl w:val="0"/>
          <w:numId w:val="0"/>
        </w:numPr>
        <w:tabs>
          <w:tab w:val="left" w:pos="312"/>
        </w:tabs>
        <w:spacing w:line="360" w:lineRule="auto"/>
        <w:ind w:leftChars="200"/>
        <w:jc w:val="left"/>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lang w:val="en-US" w:eastAsia="zh-CN"/>
        </w:rPr>
        <w:t>3、2021年喀拉托海镇财务实施、财务公开、财务绩效按时完成</w:t>
      </w:r>
      <w:r>
        <w:rPr>
          <w:rStyle w:val="16"/>
          <w:rFonts w:hint="eastAsia" w:ascii="仿宋_GB2312" w:hAnsi="宋体" w:eastAsia="仿宋_GB2312"/>
          <w:b w:val="0"/>
          <w:bCs w:val="0"/>
          <w:spacing w:val="-4"/>
          <w:sz w:val="28"/>
          <w:szCs w:val="28"/>
        </w:rPr>
        <w:t>成效显著</w:t>
      </w:r>
      <w:r>
        <w:rPr>
          <w:rStyle w:val="16"/>
          <w:rFonts w:hint="eastAsia" w:ascii="仿宋_GB2312" w:hAnsi="宋体" w:eastAsia="仿宋_GB2312"/>
          <w:b w:val="0"/>
          <w:bCs w:val="0"/>
          <w:spacing w:val="-4"/>
          <w:sz w:val="28"/>
          <w:szCs w:val="28"/>
          <w:lang w:eastAsia="zh-CN"/>
        </w:rPr>
        <w:t>。</w:t>
      </w:r>
    </w:p>
    <w:p>
      <w:pPr>
        <w:tabs>
          <w:tab w:val="left" w:pos="312"/>
        </w:tabs>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lang w:val="en-US" w:eastAsia="zh-CN"/>
        </w:rPr>
        <w:t>4、人员保障支出，运转保障支出，项目支出全面达标，村容村貌改善，基础设施完善，居民生活环境及人均收入有效提高，来往游客及群众满意度高</w:t>
      </w:r>
      <w:r>
        <w:rPr>
          <w:rStyle w:val="16"/>
          <w:rFonts w:hint="eastAsia" w:ascii="仿宋_GB2312" w:hAnsi="宋体" w:eastAsia="仿宋_GB2312"/>
          <w:b w:val="0"/>
          <w:bCs w:val="0"/>
          <w:spacing w:val="-4"/>
          <w:sz w:val="28"/>
          <w:szCs w:val="28"/>
          <w:lang w:eastAsia="zh-CN"/>
        </w:rPr>
        <w:t>。</w:t>
      </w:r>
    </w:p>
    <w:p>
      <w:pPr>
        <w:pStyle w:val="4"/>
        <w:spacing w:line="360" w:lineRule="auto"/>
        <w:ind w:firstLine="643" w:firstLineChars="200"/>
        <w:rPr>
          <w:rStyle w:val="16"/>
          <w:rFonts w:ascii="仿宋" w:hAnsi="仿宋" w:eastAsia="仿宋"/>
          <w:b/>
          <w:bCs/>
        </w:rPr>
      </w:pPr>
      <w:bookmarkStart w:id="25" w:name="_Toc70450316"/>
      <w:r>
        <w:rPr>
          <w:rStyle w:val="16"/>
          <w:rFonts w:hint="eastAsia" w:ascii="仿宋" w:hAnsi="仿宋" w:eastAsia="仿宋"/>
          <w:b/>
          <w:bCs/>
        </w:rPr>
        <w:t>（三）有效性评价</w:t>
      </w:r>
      <w:bookmarkEnd w:id="25"/>
    </w:p>
    <w:p>
      <w:pPr>
        <w:spacing w:line="360" w:lineRule="auto"/>
        <w:ind w:firstLine="544" w:firstLineChars="200"/>
        <w:rPr>
          <w:rStyle w:val="16"/>
          <w:rFonts w:ascii="仿宋_GB2312" w:hAnsi="宋体" w:eastAsia="仿宋_GB2312"/>
          <w:b w:val="0"/>
          <w:bCs w:val="0"/>
          <w:color w:val="auto"/>
          <w:spacing w:val="-4"/>
          <w:sz w:val="28"/>
          <w:szCs w:val="28"/>
        </w:rPr>
      </w:pPr>
      <w:r>
        <w:rPr>
          <w:rStyle w:val="16"/>
          <w:rFonts w:hint="eastAsia" w:ascii="仿宋_GB2312" w:hAnsi="宋体" w:eastAsia="仿宋_GB2312"/>
          <w:b w:val="0"/>
          <w:bCs w:val="0"/>
          <w:color w:val="auto"/>
          <w:spacing w:val="-4"/>
          <w:sz w:val="28"/>
          <w:szCs w:val="28"/>
        </w:rPr>
        <w:t>202</w:t>
      </w:r>
      <w:r>
        <w:rPr>
          <w:rStyle w:val="16"/>
          <w:rFonts w:hint="eastAsia" w:ascii="仿宋_GB2312" w:hAnsi="宋体" w:eastAsia="仿宋_GB2312"/>
          <w:b w:val="0"/>
          <w:bCs w:val="0"/>
          <w:color w:val="auto"/>
          <w:spacing w:val="-4"/>
          <w:sz w:val="28"/>
          <w:szCs w:val="28"/>
          <w:lang w:val="en-US" w:eastAsia="zh-CN"/>
        </w:rPr>
        <w:t>1</w:t>
      </w:r>
      <w:r>
        <w:rPr>
          <w:rStyle w:val="16"/>
          <w:rFonts w:hint="eastAsia" w:ascii="仿宋_GB2312" w:hAnsi="宋体" w:eastAsia="仿宋_GB2312"/>
          <w:b w:val="0"/>
          <w:bCs w:val="0"/>
          <w:color w:val="auto"/>
          <w:spacing w:val="-4"/>
          <w:sz w:val="28"/>
          <w:szCs w:val="28"/>
        </w:rPr>
        <w:t>年部门支出的有效性主要体现在我单位各项工作成效上，一是</w:t>
      </w:r>
      <w:r>
        <w:rPr>
          <w:rStyle w:val="16"/>
          <w:rFonts w:hint="eastAsia" w:ascii="仿宋_GB2312" w:hAnsi="宋体" w:eastAsia="仿宋_GB2312"/>
          <w:b w:val="0"/>
          <w:bCs w:val="0"/>
          <w:color w:val="auto"/>
          <w:spacing w:val="-4"/>
          <w:sz w:val="28"/>
          <w:szCs w:val="28"/>
          <w:lang w:val="en-US" w:eastAsia="zh-CN"/>
        </w:rPr>
        <w:t>预算执行</w:t>
      </w:r>
      <w:r>
        <w:rPr>
          <w:rStyle w:val="16"/>
          <w:rFonts w:hint="eastAsia" w:ascii="仿宋_GB2312" w:hAnsi="宋体" w:eastAsia="仿宋_GB2312"/>
          <w:b w:val="0"/>
          <w:bCs w:val="0"/>
          <w:color w:val="auto"/>
          <w:spacing w:val="-4"/>
          <w:sz w:val="28"/>
          <w:szCs w:val="28"/>
        </w:rPr>
        <w:t>进一步夯实，二是</w:t>
      </w:r>
      <w:r>
        <w:rPr>
          <w:rStyle w:val="16"/>
          <w:rFonts w:hint="eastAsia" w:ascii="仿宋_GB2312" w:hAnsi="宋体" w:eastAsia="仿宋_GB2312"/>
          <w:b w:val="0"/>
          <w:bCs w:val="0"/>
          <w:color w:val="auto"/>
          <w:spacing w:val="-4"/>
          <w:sz w:val="28"/>
          <w:szCs w:val="28"/>
          <w:lang w:val="en-US" w:eastAsia="zh-CN"/>
        </w:rPr>
        <w:t>财务业务</w:t>
      </w:r>
      <w:r>
        <w:rPr>
          <w:rStyle w:val="16"/>
          <w:rFonts w:hint="eastAsia" w:ascii="仿宋_GB2312" w:hAnsi="宋体" w:eastAsia="仿宋_GB2312"/>
          <w:b w:val="0"/>
          <w:bCs w:val="0"/>
          <w:color w:val="auto"/>
          <w:spacing w:val="-4"/>
          <w:sz w:val="28"/>
          <w:szCs w:val="28"/>
        </w:rPr>
        <w:t>能力进一步提升，三是</w:t>
      </w:r>
      <w:r>
        <w:rPr>
          <w:rStyle w:val="16"/>
          <w:rFonts w:hint="eastAsia" w:ascii="仿宋_GB2312" w:hAnsi="宋体" w:eastAsia="仿宋_GB2312"/>
          <w:b w:val="0"/>
          <w:bCs w:val="0"/>
          <w:color w:val="auto"/>
          <w:spacing w:val="-4"/>
          <w:sz w:val="28"/>
          <w:szCs w:val="28"/>
          <w:lang w:val="en-US" w:eastAsia="zh-CN"/>
        </w:rPr>
        <w:t>财政监督</w:t>
      </w:r>
      <w:r>
        <w:rPr>
          <w:rStyle w:val="16"/>
          <w:rFonts w:hint="eastAsia" w:ascii="仿宋_GB2312" w:hAnsi="宋体" w:eastAsia="仿宋_GB2312"/>
          <w:b w:val="0"/>
          <w:bCs w:val="0"/>
          <w:color w:val="auto"/>
          <w:spacing w:val="-4"/>
          <w:sz w:val="28"/>
          <w:szCs w:val="28"/>
        </w:rPr>
        <w:t>进一步改善，四是</w:t>
      </w:r>
      <w:r>
        <w:rPr>
          <w:rStyle w:val="16"/>
          <w:rFonts w:hint="eastAsia" w:ascii="仿宋_GB2312" w:hAnsi="宋体" w:eastAsia="仿宋_GB2312"/>
          <w:b w:val="0"/>
          <w:bCs w:val="0"/>
          <w:color w:val="auto"/>
          <w:spacing w:val="-4"/>
          <w:sz w:val="28"/>
          <w:szCs w:val="28"/>
          <w:lang w:val="en-US" w:eastAsia="zh-CN"/>
        </w:rPr>
        <w:t>群众知晓率</w:t>
      </w:r>
      <w:r>
        <w:rPr>
          <w:rStyle w:val="16"/>
          <w:rFonts w:hint="eastAsia" w:ascii="仿宋_GB2312" w:hAnsi="宋体" w:eastAsia="仿宋_GB2312"/>
          <w:b w:val="0"/>
          <w:bCs w:val="0"/>
          <w:color w:val="auto"/>
          <w:spacing w:val="-4"/>
          <w:sz w:val="28"/>
          <w:szCs w:val="28"/>
        </w:rPr>
        <w:t>进一步提高</w:t>
      </w:r>
      <w:r>
        <w:rPr>
          <w:rStyle w:val="16"/>
          <w:rFonts w:hint="eastAsia" w:ascii="仿宋_GB2312" w:hAnsi="宋体" w:eastAsia="仿宋_GB2312"/>
          <w:b w:val="0"/>
          <w:bCs w:val="0"/>
          <w:color w:val="auto"/>
          <w:spacing w:val="-4"/>
          <w:sz w:val="28"/>
          <w:szCs w:val="28"/>
          <w:lang w:eastAsia="zh-CN"/>
        </w:rPr>
        <w:t>，</w:t>
      </w:r>
      <w:r>
        <w:rPr>
          <w:rStyle w:val="16"/>
          <w:rFonts w:hint="eastAsia" w:ascii="仿宋_GB2312" w:hAnsi="宋体" w:eastAsia="仿宋_GB2312"/>
          <w:b w:val="0"/>
          <w:bCs w:val="0"/>
          <w:color w:val="auto"/>
          <w:spacing w:val="-4"/>
          <w:sz w:val="28"/>
          <w:szCs w:val="28"/>
        </w:rPr>
        <w:t>详细情况如下：</w:t>
      </w:r>
    </w:p>
    <w:p>
      <w:pPr>
        <w:snapToGrid w:val="0"/>
        <w:spacing w:line="360" w:lineRule="auto"/>
        <w:ind w:firstLine="544" w:firstLineChars="200"/>
        <w:rPr>
          <w:rStyle w:val="16"/>
          <w:rFonts w:ascii="仿宋_GB2312" w:eastAsia="仿宋_GB2312" w:hAnsiTheme="minorEastAsia"/>
          <w:b w:val="0"/>
          <w:spacing w:val="-4"/>
          <w:sz w:val="28"/>
          <w:szCs w:val="28"/>
          <w:highlight w:val="none"/>
        </w:rPr>
      </w:pPr>
      <w:r>
        <w:rPr>
          <w:rStyle w:val="16"/>
          <w:rFonts w:hint="eastAsia" w:ascii="仿宋_GB2312" w:eastAsia="仿宋_GB2312" w:hAnsiTheme="minorEastAsia"/>
          <w:b w:val="0"/>
          <w:spacing w:val="-4"/>
          <w:sz w:val="28"/>
          <w:szCs w:val="28"/>
          <w:lang w:val="en-US" w:eastAsia="zh-CN"/>
        </w:rPr>
        <w:t>特克斯县喀拉托海镇</w:t>
      </w:r>
      <w:r>
        <w:rPr>
          <w:rStyle w:val="16"/>
          <w:rFonts w:hint="eastAsia" w:ascii="仿宋_GB2312" w:eastAsia="仿宋_GB2312" w:hAnsiTheme="minorEastAsia"/>
          <w:b w:val="0"/>
          <w:spacing w:val="-4"/>
          <w:sz w:val="28"/>
          <w:szCs w:val="28"/>
        </w:rPr>
        <w:t>单位整体绩效目标共设置一级指标</w:t>
      </w:r>
      <w:r>
        <w:rPr>
          <w:rStyle w:val="16"/>
          <w:rFonts w:hint="eastAsia" w:ascii="仿宋_GB2312" w:eastAsia="仿宋_GB2312" w:hAnsiTheme="minorEastAsia"/>
          <w:b w:val="0"/>
          <w:spacing w:val="-4"/>
          <w:sz w:val="28"/>
          <w:szCs w:val="28"/>
          <w:lang w:val="en-US" w:eastAsia="zh-CN"/>
        </w:rPr>
        <w:t>3</w:t>
      </w:r>
      <w:r>
        <w:rPr>
          <w:rStyle w:val="16"/>
          <w:rFonts w:hint="eastAsia" w:ascii="仿宋_GB2312" w:eastAsia="仿宋_GB2312" w:hAnsiTheme="minorEastAsia"/>
          <w:b w:val="0"/>
          <w:spacing w:val="-4"/>
          <w:sz w:val="28"/>
          <w:szCs w:val="28"/>
        </w:rPr>
        <w:t>个，二级</w:t>
      </w:r>
      <w:r>
        <w:rPr>
          <w:rStyle w:val="16"/>
          <w:rFonts w:hint="eastAsia" w:ascii="仿宋_GB2312" w:eastAsia="仿宋_GB2312" w:hAnsiTheme="minorEastAsia"/>
          <w:b w:val="0"/>
          <w:spacing w:val="-4"/>
          <w:sz w:val="28"/>
          <w:szCs w:val="28"/>
          <w:highlight w:val="none"/>
        </w:rPr>
        <w:t>指标</w:t>
      </w:r>
      <w:r>
        <w:rPr>
          <w:rStyle w:val="16"/>
          <w:rFonts w:hint="eastAsia" w:ascii="仿宋_GB2312" w:eastAsia="仿宋_GB2312" w:hAnsiTheme="minorEastAsia"/>
          <w:b w:val="0"/>
          <w:spacing w:val="-4"/>
          <w:sz w:val="28"/>
          <w:szCs w:val="28"/>
          <w:highlight w:val="none"/>
          <w:lang w:val="en-US" w:eastAsia="zh-CN"/>
        </w:rPr>
        <w:t>6</w:t>
      </w:r>
      <w:r>
        <w:rPr>
          <w:rStyle w:val="16"/>
          <w:rFonts w:hint="eastAsia" w:ascii="仿宋_GB2312" w:eastAsia="仿宋_GB2312" w:hAnsiTheme="minorEastAsia"/>
          <w:b w:val="0"/>
          <w:spacing w:val="-4"/>
          <w:sz w:val="28"/>
          <w:szCs w:val="28"/>
          <w:highlight w:val="none"/>
        </w:rPr>
        <w:t>个，三级指标</w:t>
      </w:r>
      <w:r>
        <w:rPr>
          <w:rStyle w:val="16"/>
          <w:rFonts w:hint="eastAsia" w:ascii="仿宋_GB2312" w:eastAsia="仿宋_GB2312" w:hAnsiTheme="minorEastAsia"/>
          <w:b w:val="0"/>
          <w:spacing w:val="-4"/>
          <w:sz w:val="28"/>
          <w:szCs w:val="28"/>
          <w:highlight w:val="none"/>
          <w:lang w:val="en-US" w:eastAsia="zh-CN"/>
        </w:rPr>
        <w:t>12</w:t>
      </w:r>
      <w:r>
        <w:rPr>
          <w:rStyle w:val="16"/>
          <w:rFonts w:hint="eastAsia" w:ascii="仿宋_GB2312" w:eastAsia="仿宋_GB2312" w:hAnsiTheme="minorEastAsia"/>
          <w:b w:val="0"/>
          <w:spacing w:val="-4"/>
          <w:sz w:val="28"/>
          <w:szCs w:val="28"/>
          <w:highlight w:val="none"/>
        </w:rPr>
        <w:t>个，详细说明如下</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1</w:t>
      </w:r>
      <w:r>
        <w:rPr>
          <w:rStyle w:val="16"/>
          <w:rFonts w:hint="eastAsia" w:ascii="仿宋_GB2312" w:hAnsi="宋体" w:eastAsia="仿宋_GB2312"/>
          <w:b w:val="0"/>
          <w:spacing w:val="-4"/>
          <w:sz w:val="28"/>
          <w:szCs w:val="28"/>
          <w:highlight w:val="none"/>
        </w:rPr>
        <w:t>、数量指标：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指标1：保障性工资发放人数 ，指标值：=</w:t>
      </w:r>
      <w:r>
        <w:rPr>
          <w:rStyle w:val="16"/>
          <w:rFonts w:hint="eastAsia" w:ascii="仿宋_GB2312" w:hAnsi="宋体" w:eastAsia="仿宋_GB2312"/>
          <w:b w:val="0"/>
          <w:spacing w:val="-4"/>
          <w:sz w:val="28"/>
          <w:szCs w:val="28"/>
          <w:highlight w:val="none"/>
          <w:lang w:val="en-US" w:eastAsia="zh-CN"/>
        </w:rPr>
        <w:t>144</w:t>
      </w:r>
      <w:r>
        <w:rPr>
          <w:rStyle w:val="16"/>
          <w:rFonts w:hint="eastAsia" w:ascii="仿宋_GB2312" w:hAnsi="宋体" w:eastAsia="仿宋_GB2312"/>
          <w:b w:val="0"/>
          <w:spacing w:val="-4"/>
          <w:sz w:val="28"/>
          <w:szCs w:val="28"/>
          <w:highlight w:val="none"/>
        </w:rPr>
        <w:t>人 ，实际完成值：</w:t>
      </w:r>
      <w:r>
        <w:rPr>
          <w:rStyle w:val="16"/>
          <w:rFonts w:hint="eastAsia" w:ascii="仿宋_GB2312" w:hAnsi="宋体" w:eastAsia="仿宋_GB2312"/>
          <w:b w:val="0"/>
          <w:spacing w:val="-4"/>
          <w:sz w:val="28"/>
          <w:szCs w:val="28"/>
          <w:highlight w:val="none"/>
          <w:lang w:val="en-US" w:eastAsia="zh-CN"/>
        </w:rPr>
        <w:t>144</w:t>
      </w:r>
      <w:r>
        <w:rPr>
          <w:rStyle w:val="16"/>
          <w:rFonts w:hint="eastAsia" w:ascii="仿宋_GB2312" w:hAnsi="宋体" w:eastAsia="仿宋_GB2312"/>
          <w:b w:val="0"/>
          <w:spacing w:val="-4"/>
          <w:sz w:val="28"/>
          <w:szCs w:val="28"/>
          <w:highlight w:val="none"/>
        </w:rPr>
        <w:t>人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lang w:eastAsia="zh-CN"/>
        </w:rPr>
        <w:t>喀拉托海镇</w:t>
      </w:r>
      <w:r>
        <w:rPr>
          <w:rStyle w:val="16"/>
          <w:rFonts w:hint="eastAsia" w:ascii="仿宋_GB2312" w:hAnsi="宋体" w:eastAsia="仿宋_GB2312"/>
          <w:b w:val="0"/>
          <w:spacing w:val="-4"/>
          <w:sz w:val="28"/>
          <w:szCs w:val="28"/>
          <w:highlight w:val="none"/>
        </w:rPr>
        <w:t>总支出单位 ，指标值=10个 ，实际完成值：10个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、质量指标：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指标1：全年全乡人员工资及社保错发漏发率，指标值：≤1%，实际完成值：</w:t>
      </w:r>
      <w:r>
        <w:rPr>
          <w:rStyle w:val="16"/>
          <w:rFonts w:hint="eastAsia" w:ascii="仿宋_GB2312" w:hAnsi="宋体" w:eastAsia="仿宋_GB2312"/>
          <w:b w:val="0"/>
          <w:spacing w:val="-4"/>
          <w:sz w:val="28"/>
          <w:szCs w:val="28"/>
          <w:highlight w:val="none"/>
          <w:lang w:val="en-US" w:eastAsia="zh-CN"/>
        </w:rPr>
        <w:t>0.</w:t>
      </w:r>
      <w:r>
        <w:rPr>
          <w:rStyle w:val="16"/>
          <w:rFonts w:hint="eastAsia" w:ascii="仿宋_GB2312" w:hAnsi="宋体" w:eastAsia="仿宋_GB2312"/>
          <w:b w:val="0"/>
          <w:spacing w:val="-4"/>
          <w:sz w:val="28"/>
          <w:szCs w:val="28"/>
          <w:highlight w:val="none"/>
        </w:rPr>
        <w:t>1%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：工资及社保发放准确率 ，指标值：≥99%，实际完成值： 99%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3</w:t>
      </w:r>
      <w:r>
        <w:rPr>
          <w:rStyle w:val="16"/>
          <w:rFonts w:hint="eastAsia" w:ascii="仿宋_GB2312" w:hAnsi="宋体" w:eastAsia="仿宋_GB2312"/>
          <w:b w:val="0"/>
          <w:spacing w:val="-4"/>
          <w:sz w:val="28"/>
          <w:szCs w:val="28"/>
          <w:highlight w:val="none"/>
        </w:rPr>
        <w:t>、时效指标：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指标1：工资及社保发放及时性，指标值：≥90% ，实际完成值：90%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 xml:space="preserve">：检查任务按时完成率 ，指标值：≥99%  ，实际完成值：99% </w:t>
      </w:r>
      <w:r>
        <w:rPr>
          <w:rStyle w:val="16"/>
          <w:rFonts w:hint="eastAsia" w:ascii="仿宋_GB2312" w:hAnsi="宋体" w:eastAsia="仿宋_GB2312"/>
          <w:b w:val="0"/>
          <w:spacing w:val="-4"/>
          <w:sz w:val="28"/>
          <w:szCs w:val="28"/>
          <w:highlight w:val="none"/>
          <w:lang w:eastAsia="zh-CN"/>
        </w:rPr>
        <w:t>，</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ascii="仿宋_GB2312" w:hAnsi="宋体" w:eastAsia="仿宋_GB2312"/>
          <w:b w:val="0"/>
          <w:spacing w:val="-4"/>
          <w:sz w:val="28"/>
          <w:szCs w:val="28"/>
          <w:highlight w:val="none"/>
        </w:rPr>
        <w:t>4</w:t>
      </w:r>
      <w:r>
        <w:rPr>
          <w:rStyle w:val="16"/>
          <w:rFonts w:hint="eastAsia" w:ascii="仿宋_GB2312" w:hAnsi="宋体" w:eastAsia="仿宋_GB2312"/>
          <w:b w:val="0"/>
          <w:spacing w:val="-4"/>
          <w:sz w:val="28"/>
          <w:szCs w:val="28"/>
          <w:highlight w:val="none"/>
        </w:rPr>
        <w:t>、成本指标：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指标1：人均工资支出标准，指标值：≤8.62万元 ，实际完成值：8.62万元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：人均运转经费数 ，指标值：≤1.35万元 ，实际完成值：1.35万元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numPr>
          <w:ilvl w:val="0"/>
          <w:numId w:val="2"/>
        </w:numPr>
        <w:snapToGrid w:val="0"/>
        <w:spacing w:line="360" w:lineRule="auto"/>
        <w:ind w:firstLine="544" w:firstLineChars="200"/>
        <w:rPr>
          <w:rStyle w:val="16"/>
          <w:rFonts w:hint="eastAsia" w:ascii="仿宋_GB2312" w:hAnsi="宋体" w:eastAsia="仿宋_GB2312"/>
          <w:b w:val="0"/>
          <w:spacing w:val="-4"/>
          <w:sz w:val="28"/>
          <w:szCs w:val="28"/>
          <w:highlight w:val="none"/>
          <w:lang w:val="en-US" w:eastAsia="zh-CN"/>
        </w:rPr>
      </w:pPr>
      <w:r>
        <w:rPr>
          <w:rStyle w:val="16"/>
          <w:rFonts w:hint="eastAsia" w:ascii="仿宋_GB2312" w:hAnsi="宋体" w:eastAsia="仿宋_GB2312"/>
          <w:b w:val="0"/>
          <w:spacing w:val="-4"/>
          <w:sz w:val="28"/>
          <w:szCs w:val="28"/>
          <w:highlight w:val="none"/>
          <w:lang w:val="en-US" w:eastAsia="zh-CN"/>
        </w:rPr>
        <w:t>经济效益指标</w:t>
      </w:r>
    </w:p>
    <w:p>
      <w:pPr>
        <w:snapToGrid w:val="0"/>
        <w:spacing w:line="360" w:lineRule="auto"/>
        <w:ind w:firstLine="544" w:firstLineChars="200"/>
        <w:rPr>
          <w:rStyle w:val="16"/>
          <w:rFonts w:hint="eastAsia" w:ascii="仿宋_GB2312" w:hAnsi="宋体" w:eastAsia="仿宋_GB2312"/>
          <w:b w:val="0"/>
          <w:spacing w:val="-4"/>
          <w:sz w:val="28"/>
          <w:szCs w:val="28"/>
          <w:highlight w:val="none"/>
          <w:lang w:val="en-US" w:eastAsia="zh-CN"/>
        </w:rPr>
      </w:pPr>
      <w:r>
        <w:rPr>
          <w:rStyle w:val="16"/>
          <w:rFonts w:hint="eastAsia" w:ascii="仿宋_GB2312" w:hAnsi="宋体" w:eastAsia="仿宋_GB2312"/>
          <w:b w:val="0"/>
          <w:spacing w:val="-4"/>
          <w:sz w:val="28"/>
          <w:szCs w:val="28"/>
          <w:highlight w:val="none"/>
          <w:lang w:val="en-US" w:eastAsia="zh-CN"/>
        </w:rPr>
        <w:t>指标1：带动当地居民增加年收入额，指标值：500元，</w:t>
      </w:r>
      <w:r>
        <w:rPr>
          <w:rStyle w:val="16"/>
          <w:rFonts w:hint="eastAsia" w:ascii="仿宋_GB2312" w:hAnsi="宋体" w:eastAsia="仿宋_GB2312"/>
          <w:b w:val="0"/>
          <w:spacing w:val="-4"/>
          <w:sz w:val="28"/>
          <w:szCs w:val="28"/>
          <w:highlight w:val="none"/>
        </w:rPr>
        <w:t>实际完成值：500元</w:t>
      </w:r>
      <w:r>
        <w:rPr>
          <w:rStyle w:val="16"/>
          <w:rFonts w:hint="eastAsia" w:ascii="仿宋_GB2312" w:hAnsi="宋体" w:eastAsia="仿宋_GB2312"/>
          <w:b w:val="0"/>
          <w:spacing w:val="-4"/>
          <w:sz w:val="28"/>
          <w:szCs w:val="28"/>
          <w:highlight w:val="none"/>
          <w:lang w:eastAsia="zh-CN"/>
        </w:rPr>
        <w:t>，</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val="en-US" w:eastAsia="zh-CN"/>
        </w:rPr>
        <w:t>6</w:t>
      </w:r>
      <w:r>
        <w:rPr>
          <w:rStyle w:val="16"/>
          <w:rFonts w:hint="eastAsia" w:ascii="仿宋_GB2312" w:hAnsi="宋体" w:eastAsia="仿宋_GB2312"/>
          <w:b w:val="0"/>
          <w:spacing w:val="-4"/>
          <w:sz w:val="28"/>
          <w:szCs w:val="28"/>
          <w:highlight w:val="none"/>
        </w:rPr>
        <w:t>、社会效益指标：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指标1：提升公共服务水平 ，指标值：有效提升 ，实际完成值：有效提升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：各类惠民政策群众知晓率 ，指标值：不断扩大 ，实际完成值：不断扩大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numPr>
          <w:ilvl w:val="0"/>
          <w:numId w:val="0"/>
        </w:numPr>
        <w:snapToGrid w:val="0"/>
        <w:spacing w:line="360" w:lineRule="auto"/>
        <w:ind w:leftChars="200"/>
        <w:rPr>
          <w:rStyle w:val="16"/>
          <w:rFonts w:hint="eastAsia" w:ascii="仿宋_GB2312" w:hAnsi="宋体" w:eastAsia="仿宋_GB2312"/>
          <w:b w:val="0"/>
          <w:spacing w:val="-4"/>
          <w:sz w:val="28"/>
          <w:szCs w:val="28"/>
          <w:highlight w:val="none"/>
          <w:lang w:val="en-US" w:eastAsia="zh-CN"/>
        </w:rPr>
      </w:pPr>
      <w:r>
        <w:rPr>
          <w:rStyle w:val="16"/>
          <w:rFonts w:hint="eastAsia" w:ascii="仿宋_GB2312" w:hAnsi="宋体" w:eastAsia="仿宋_GB2312"/>
          <w:b w:val="0"/>
          <w:spacing w:val="-4"/>
          <w:sz w:val="28"/>
          <w:szCs w:val="28"/>
          <w:highlight w:val="none"/>
          <w:lang w:val="en-US" w:eastAsia="zh-CN"/>
        </w:rPr>
        <w:t>7、生态效益指标：</w:t>
      </w:r>
    </w:p>
    <w:p>
      <w:pPr>
        <w:numPr>
          <w:ilvl w:val="0"/>
          <w:numId w:val="0"/>
        </w:numPr>
        <w:snapToGrid w:val="0"/>
        <w:spacing w:line="360" w:lineRule="auto"/>
        <w:ind w:firstLine="544" w:firstLineChars="200"/>
        <w:rPr>
          <w:rStyle w:val="16"/>
          <w:rFonts w:hint="eastAsia"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指标1：扩大辖区绿化面积，指标值：有效提升</w:t>
      </w:r>
      <w:r>
        <w:rPr>
          <w:rStyle w:val="16"/>
          <w:rFonts w:hint="eastAsia" w:ascii="仿宋_GB2312" w:hAnsi="宋体" w:eastAsia="仿宋_GB2312"/>
          <w:b w:val="0"/>
          <w:spacing w:val="-4"/>
          <w:sz w:val="28"/>
          <w:szCs w:val="28"/>
          <w:highlight w:val="none"/>
          <w:lang w:eastAsia="zh-CN"/>
        </w:rPr>
        <w:t>，</w:t>
      </w:r>
      <w:r>
        <w:rPr>
          <w:rStyle w:val="16"/>
          <w:rFonts w:hint="eastAsia" w:ascii="仿宋_GB2312" w:hAnsi="宋体" w:eastAsia="仿宋_GB2312"/>
          <w:b w:val="0"/>
          <w:spacing w:val="-4"/>
          <w:sz w:val="28"/>
          <w:szCs w:val="28"/>
          <w:highlight w:val="none"/>
        </w:rPr>
        <w:t>实际完成值：有效提升</w:t>
      </w:r>
      <w:r>
        <w:rPr>
          <w:rStyle w:val="16"/>
          <w:rFonts w:hint="eastAsia" w:ascii="仿宋_GB2312" w:hAnsi="宋体" w:eastAsia="仿宋_GB2312"/>
          <w:b w:val="0"/>
          <w:spacing w:val="-4"/>
          <w:sz w:val="28"/>
          <w:szCs w:val="28"/>
          <w:highlight w:val="none"/>
          <w:lang w:eastAsia="zh-CN"/>
        </w:rPr>
        <w:t>，</w:t>
      </w:r>
      <w:r>
        <w:rPr>
          <w:rStyle w:val="16"/>
          <w:rFonts w:hint="eastAsia" w:ascii="仿宋_GB2312" w:hAnsi="宋体" w:eastAsia="仿宋_GB2312"/>
          <w:b w:val="0"/>
          <w:spacing w:val="-4"/>
          <w:sz w:val="28"/>
          <w:szCs w:val="28"/>
          <w:highlight w:val="none"/>
        </w:rPr>
        <w:t>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numPr>
          <w:ilvl w:val="0"/>
          <w:numId w:val="0"/>
        </w:numPr>
        <w:snapToGrid w:val="0"/>
        <w:spacing w:line="360" w:lineRule="auto"/>
        <w:ind w:leftChars="200"/>
        <w:rPr>
          <w:rStyle w:val="16"/>
          <w:rFonts w:hint="eastAsia" w:ascii="仿宋_GB2312" w:hAnsi="宋体" w:eastAsia="仿宋_GB2312"/>
          <w:b w:val="0"/>
          <w:spacing w:val="-4"/>
          <w:sz w:val="28"/>
          <w:szCs w:val="28"/>
          <w:highlight w:val="none"/>
          <w:lang w:val="en-US" w:eastAsia="zh-CN"/>
        </w:rPr>
      </w:pPr>
      <w:r>
        <w:rPr>
          <w:rStyle w:val="16"/>
          <w:rFonts w:hint="eastAsia" w:ascii="仿宋_GB2312" w:hAnsi="宋体" w:eastAsia="仿宋_GB2312"/>
          <w:b w:val="0"/>
          <w:spacing w:val="-4"/>
          <w:sz w:val="28"/>
          <w:szCs w:val="28"/>
          <w:highlight w:val="none"/>
          <w:lang w:val="en-US" w:eastAsia="zh-CN"/>
        </w:rPr>
        <w:t>8、可持续影响指标：</w:t>
      </w:r>
    </w:p>
    <w:p>
      <w:pPr>
        <w:numPr>
          <w:ilvl w:val="0"/>
          <w:numId w:val="0"/>
        </w:numPr>
        <w:snapToGrid w:val="0"/>
        <w:spacing w:line="360" w:lineRule="auto"/>
        <w:ind w:firstLine="544" w:firstLineChars="200"/>
        <w:rPr>
          <w:rStyle w:val="16"/>
          <w:rFonts w:hint="eastAsia" w:ascii="仿宋_GB2312" w:hAnsi="宋体" w:eastAsia="仿宋_GB2312"/>
          <w:b w:val="0"/>
          <w:spacing w:val="-4"/>
          <w:sz w:val="28"/>
          <w:szCs w:val="28"/>
          <w:highlight w:val="none"/>
          <w:lang w:val="en-US" w:eastAsia="zh-CN"/>
        </w:rPr>
      </w:pPr>
      <w:r>
        <w:rPr>
          <w:rStyle w:val="16"/>
          <w:rFonts w:hint="eastAsia" w:ascii="仿宋_GB2312" w:hAnsi="宋体" w:eastAsia="仿宋_GB2312"/>
          <w:b w:val="0"/>
          <w:spacing w:val="-4"/>
          <w:sz w:val="28"/>
          <w:szCs w:val="28"/>
          <w:highlight w:val="none"/>
          <w:lang w:val="en-US" w:eastAsia="zh-CN"/>
        </w:rPr>
        <w:t>指标1：问题整改落实率，</w:t>
      </w:r>
      <w:r>
        <w:rPr>
          <w:rStyle w:val="16"/>
          <w:rFonts w:hint="eastAsia" w:ascii="仿宋_GB2312" w:hAnsi="宋体" w:eastAsia="仿宋_GB2312"/>
          <w:b w:val="0"/>
          <w:spacing w:val="-4"/>
          <w:sz w:val="28"/>
          <w:szCs w:val="28"/>
          <w:highlight w:val="none"/>
        </w:rPr>
        <w:t>指标值：≥20% ，实际完成值：20%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lang w:val="en-US" w:eastAsia="zh-CN"/>
        </w:rPr>
        <w:t>8、</w:t>
      </w:r>
      <w:r>
        <w:rPr>
          <w:rStyle w:val="16"/>
          <w:rFonts w:hint="eastAsia" w:ascii="仿宋_GB2312" w:hAnsi="宋体" w:eastAsia="仿宋_GB2312"/>
          <w:b w:val="0"/>
          <w:spacing w:val="-4"/>
          <w:sz w:val="28"/>
          <w:szCs w:val="28"/>
          <w:highlight w:val="none"/>
        </w:rPr>
        <w:t>满意度指标：</w:t>
      </w:r>
    </w:p>
    <w:p>
      <w:pPr>
        <w:snapToGrid w:val="0"/>
        <w:spacing w:line="360" w:lineRule="auto"/>
        <w:ind w:firstLine="544" w:firstLineChars="200"/>
        <w:rPr>
          <w:rStyle w:val="16"/>
          <w:rFonts w:ascii="仿宋_GB2312" w:hAnsi="宋体" w:eastAsia="仿宋_GB2312"/>
          <w:b w:val="0"/>
          <w:spacing w:val="-4"/>
          <w:sz w:val="28"/>
          <w:szCs w:val="28"/>
          <w:highlight w:val="none"/>
        </w:rPr>
      </w:pPr>
      <w:r>
        <w:rPr>
          <w:rStyle w:val="16"/>
          <w:rFonts w:hint="eastAsia" w:ascii="仿宋_GB2312" w:hAnsi="宋体" w:eastAsia="仿宋_GB2312"/>
          <w:b w:val="0"/>
          <w:spacing w:val="-4"/>
          <w:sz w:val="28"/>
          <w:szCs w:val="28"/>
          <w:highlight w:val="none"/>
        </w:rPr>
        <w:t>指标1：辖区群众满意度</w:t>
      </w:r>
      <w:r>
        <w:rPr>
          <w:rStyle w:val="16"/>
          <w:rFonts w:hint="eastAsia" w:ascii="仿宋_GB2312" w:hAnsi="宋体" w:eastAsia="仿宋_GB2312"/>
          <w:b w:val="0"/>
          <w:spacing w:val="-4"/>
          <w:sz w:val="28"/>
          <w:szCs w:val="28"/>
          <w:highlight w:val="none"/>
          <w:lang w:eastAsia="zh-CN"/>
        </w:rPr>
        <w:t>，</w:t>
      </w:r>
      <w:r>
        <w:rPr>
          <w:rStyle w:val="16"/>
          <w:rFonts w:hint="eastAsia" w:ascii="仿宋_GB2312" w:hAnsi="宋体" w:eastAsia="仿宋_GB2312"/>
          <w:b w:val="0"/>
          <w:spacing w:val="-4"/>
          <w:sz w:val="28"/>
          <w:szCs w:val="28"/>
          <w:highlight w:val="none"/>
        </w:rPr>
        <w:t>指标值：≥96%，实际完成值：96%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p>
    <w:p>
      <w:pPr>
        <w:snapToGrid w:val="0"/>
        <w:spacing w:line="360" w:lineRule="auto"/>
        <w:ind w:firstLine="544" w:firstLineChars="200"/>
        <w:rPr>
          <w:rStyle w:val="16"/>
          <w:rFonts w:hint="eastAsia" w:ascii="仿宋_GB2312" w:hAnsi="宋体" w:eastAsia="仿宋_GB2312"/>
          <w:b w:val="0"/>
          <w:bCs w:val="0"/>
          <w:color w:val="FF0000"/>
          <w:spacing w:val="-4"/>
          <w:sz w:val="28"/>
          <w:szCs w:val="28"/>
          <w:highlight w:val="none"/>
          <w:lang w:eastAsia="zh-CN"/>
        </w:rPr>
      </w:pPr>
      <w:r>
        <w:rPr>
          <w:rStyle w:val="16"/>
          <w:rFonts w:hint="eastAsia" w:ascii="仿宋_GB2312" w:hAnsi="宋体" w:eastAsia="仿宋_GB2312"/>
          <w:b w:val="0"/>
          <w:spacing w:val="-4"/>
          <w:sz w:val="28"/>
          <w:szCs w:val="28"/>
          <w:highlight w:val="none"/>
        </w:rPr>
        <w:t>指标</w:t>
      </w:r>
      <w:r>
        <w:rPr>
          <w:rStyle w:val="16"/>
          <w:rFonts w:ascii="仿宋_GB2312" w:hAnsi="宋体" w:eastAsia="仿宋_GB2312"/>
          <w:b w:val="0"/>
          <w:spacing w:val="-4"/>
          <w:sz w:val="28"/>
          <w:szCs w:val="28"/>
          <w:highlight w:val="none"/>
        </w:rPr>
        <w:t>2</w:t>
      </w:r>
      <w:r>
        <w:rPr>
          <w:rStyle w:val="16"/>
          <w:rFonts w:hint="eastAsia" w:ascii="仿宋_GB2312" w:hAnsi="宋体" w:eastAsia="仿宋_GB2312"/>
          <w:b w:val="0"/>
          <w:spacing w:val="-4"/>
          <w:sz w:val="28"/>
          <w:szCs w:val="28"/>
          <w:highlight w:val="none"/>
        </w:rPr>
        <w:t>：来往游客满意度</w:t>
      </w:r>
      <w:r>
        <w:rPr>
          <w:rStyle w:val="16"/>
          <w:rFonts w:hint="eastAsia" w:ascii="仿宋_GB2312" w:hAnsi="宋体" w:eastAsia="仿宋_GB2312"/>
          <w:b w:val="0"/>
          <w:spacing w:val="-4"/>
          <w:sz w:val="28"/>
          <w:szCs w:val="28"/>
          <w:highlight w:val="none"/>
          <w:lang w:eastAsia="zh-CN"/>
        </w:rPr>
        <w:t>，</w:t>
      </w:r>
      <w:r>
        <w:rPr>
          <w:rStyle w:val="16"/>
          <w:rFonts w:hint="eastAsia" w:ascii="仿宋_GB2312" w:hAnsi="宋体" w:eastAsia="仿宋_GB2312"/>
          <w:b w:val="0"/>
          <w:spacing w:val="-4"/>
          <w:sz w:val="28"/>
          <w:szCs w:val="28"/>
          <w:highlight w:val="none"/>
        </w:rPr>
        <w:t>指标值：≥97% ，实际完成值：97% ，指标完成率</w:t>
      </w:r>
      <w:r>
        <w:rPr>
          <w:rStyle w:val="16"/>
          <w:rFonts w:hint="eastAsia" w:ascii="仿宋_GB2312" w:hAnsi="宋体" w:eastAsia="仿宋_GB2312"/>
          <w:b w:val="0"/>
          <w:spacing w:val="-4"/>
          <w:sz w:val="28"/>
          <w:szCs w:val="28"/>
          <w:highlight w:val="none"/>
          <w:lang w:val="en-US" w:eastAsia="zh-CN"/>
        </w:rPr>
        <w:t>100</w:t>
      </w:r>
      <w:r>
        <w:rPr>
          <w:rStyle w:val="16"/>
          <w:rFonts w:hint="eastAsia" w:ascii="仿宋_GB2312" w:hAnsi="宋体" w:eastAsia="仿宋_GB2312"/>
          <w:b w:val="0"/>
          <w:spacing w:val="-4"/>
          <w:sz w:val="28"/>
          <w:szCs w:val="28"/>
          <w:highlight w:val="none"/>
        </w:rPr>
        <w:t>%</w:t>
      </w:r>
      <w:r>
        <w:rPr>
          <w:rStyle w:val="16"/>
          <w:rFonts w:hint="eastAsia" w:ascii="仿宋_GB2312" w:hAnsi="宋体" w:eastAsia="仿宋_GB2312"/>
          <w:b w:val="0"/>
          <w:spacing w:val="-4"/>
          <w:sz w:val="28"/>
          <w:szCs w:val="28"/>
          <w:highlight w:val="none"/>
          <w:lang w:eastAsia="zh-CN"/>
        </w:rPr>
        <w:t>。</w:t>
      </w:r>
    </w:p>
    <w:p>
      <w:pPr>
        <w:pStyle w:val="3"/>
        <w:numPr>
          <w:ilvl w:val="0"/>
          <w:numId w:val="0"/>
        </w:numPr>
        <w:spacing w:line="360" w:lineRule="auto"/>
        <w:ind w:leftChars="0"/>
        <w:rPr>
          <w:rFonts w:hint="eastAsia" w:ascii="仿宋" w:hAnsi="仿宋" w:eastAsia="仿宋"/>
          <w:sz w:val="36"/>
          <w:szCs w:val="36"/>
          <w:lang w:val="en-US" w:eastAsia="zh-CN" w:bidi="ar"/>
        </w:rPr>
      </w:pPr>
      <w:bookmarkStart w:id="26" w:name="_Toc70450317"/>
      <w:r>
        <w:rPr>
          <w:rFonts w:hint="eastAsia" w:ascii="仿宋" w:hAnsi="仿宋" w:eastAsia="仿宋"/>
          <w:sz w:val="36"/>
          <w:szCs w:val="36"/>
          <w:lang w:val="en-US" w:eastAsia="zh-CN" w:bidi="ar"/>
        </w:rPr>
        <w:t>六、存在的主要问题</w:t>
      </w:r>
      <w:bookmarkEnd w:id="26"/>
    </w:p>
    <w:p>
      <w:pPr>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(一)预算执行存在偏差</w:t>
      </w:r>
    </w:p>
    <w:p>
      <w:pPr>
        <w:ind w:firstLine="544" w:firstLineChars="200"/>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(二)项目细化管理工作不足。</w:t>
      </w:r>
    </w:p>
    <w:p>
      <w:pPr>
        <w:ind w:firstLine="544" w:firstLineChars="200"/>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公用经费包含小类项目较多，主要是办公费、邮电费、差旅费、等，在执行过程中，办公费费的使用范围并不能把握到位，造成项目遇到各种不确定因素，财政资金无法发挥最大使用效益。</w:t>
      </w:r>
    </w:p>
    <w:p>
      <w:pPr>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（三）预算绩效管理水平仍有欠缺。</w:t>
      </w:r>
    </w:p>
    <w:p>
      <w:pPr>
        <w:ind w:firstLine="544" w:firstLineChars="200"/>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在2020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rPr>
          <w:rStyle w:val="16"/>
          <w:rFonts w:hint="eastAsia" w:ascii="仿宋_GB2312" w:hAnsi="宋体" w:eastAsia="仿宋_GB2312" w:cs="Times New Roman"/>
          <w:b w:val="0"/>
          <w:spacing w:val="-4"/>
          <w:kern w:val="2"/>
          <w:sz w:val="28"/>
          <w:szCs w:val="28"/>
          <w:lang w:val="en-US" w:eastAsia="zh-CN" w:bidi="ar-SA"/>
        </w:rPr>
      </w:pPr>
      <w:r>
        <w:rPr>
          <w:rStyle w:val="16"/>
          <w:rFonts w:hint="eastAsia" w:ascii="仿宋_GB2312" w:hAnsi="宋体" w:eastAsia="仿宋_GB2312" w:cs="Times New Roman"/>
          <w:b w:val="0"/>
          <w:spacing w:val="-4"/>
          <w:kern w:val="2"/>
          <w:sz w:val="28"/>
          <w:szCs w:val="28"/>
          <w:lang w:val="en-US" w:eastAsia="zh-CN" w:bidi="ar-SA"/>
        </w:rPr>
        <w:t>（四）固定资产管理水平有待提高</w:t>
      </w:r>
    </w:p>
    <w:p>
      <w:pPr>
        <w:ind w:firstLine="544" w:firstLineChars="200"/>
        <w:rPr>
          <w:lang w:bidi="ar"/>
        </w:rPr>
      </w:pPr>
      <w:r>
        <w:rPr>
          <w:rStyle w:val="16"/>
          <w:rFonts w:hint="eastAsia" w:ascii="仿宋_GB2312" w:hAnsi="宋体" w:eastAsia="仿宋_GB2312" w:cs="Times New Roman"/>
          <w:b w:val="0"/>
          <w:spacing w:val="-4"/>
          <w:kern w:val="2"/>
          <w:sz w:val="28"/>
          <w:szCs w:val="28"/>
          <w:lang w:val="en-US" w:eastAsia="zh-CN" w:bidi="ar-SA"/>
        </w:rPr>
        <w:t>固定资产台账未及时与账面资产金额对账且末与实物进行清点及及时清理处置报废资产导致资产台账与账面资产金额存在差异,固定资产管理继续加强中。</w:t>
      </w:r>
    </w:p>
    <w:p>
      <w:pPr>
        <w:pStyle w:val="3"/>
        <w:numPr>
          <w:ilvl w:val="0"/>
          <w:numId w:val="3"/>
        </w:numPr>
        <w:spacing w:line="360" w:lineRule="auto"/>
        <w:ind w:leftChars="0"/>
        <w:rPr>
          <w:rFonts w:hint="eastAsia" w:ascii="仿宋" w:hAnsi="仿宋" w:eastAsia="仿宋"/>
          <w:sz w:val="36"/>
          <w:szCs w:val="36"/>
          <w:lang w:bidi="ar"/>
        </w:rPr>
      </w:pPr>
      <w:r>
        <w:rPr>
          <w:rFonts w:hint="eastAsia" w:ascii="仿宋" w:hAnsi="仿宋" w:eastAsia="仿宋"/>
          <w:sz w:val="36"/>
          <w:szCs w:val="36"/>
          <w:lang w:bidi="ar"/>
        </w:rPr>
        <w:t>改进措施和建议</w:t>
      </w:r>
    </w:p>
    <w:p>
      <w:pPr>
        <w:pStyle w:val="4"/>
        <w:spacing w:line="360" w:lineRule="auto"/>
        <w:rPr>
          <w:rStyle w:val="16"/>
          <w:rFonts w:ascii="仿宋" w:hAnsi="仿宋" w:eastAsia="仿宋"/>
          <w:b/>
          <w:bCs/>
        </w:rPr>
      </w:pPr>
      <w:bookmarkStart w:id="27" w:name="_Toc70450319"/>
      <w:r>
        <w:rPr>
          <w:rStyle w:val="16"/>
          <w:rFonts w:hint="eastAsia" w:ascii="仿宋" w:hAnsi="仿宋" w:eastAsia="仿宋"/>
          <w:b/>
          <w:bCs/>
        </w:rPr>
        <w:t>（一）改进措施</w:t>
      </w:r>
      <w:bookmarkEnd w:id="27"/>
    </w:p>
    <w:p>
      <w:pPr>
        <w:numPr>
          <w:ilvl w:val="0"/>
          <w:numId w:val="0"/>
        </w:numPr>
        <w:rPr>
          <w:rFonts w:hint="eastAsia"/>
        </w:rPr>
      </w:pP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(二)完善管理制度,进-步加强资产管理。严格按照《固定资产管理办法》的规定，加强固定资产管理,及时登记、更新台账，加强资产卡片管理,对各类实物资产进行全面盘点,确保账账、账实相符。</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（三）加强学习。进一步明确如何参照考核体系，科学合理设定绩效目标，充分发挥预算绩效管理工作效用。</w:t>
      </w:r>
    </w:p>
    <w:p>
      <w:pPr>
        <w:pStyle w:val="3"/>
        <w:numPr>
          <w:ilvl w:val="0"/>
          <w:numId w:val="0"/>
        </w:numPr>
        <w:spacing w:line="360" w:lineRule="auto"/>
        <w:ind w:leftChars="0"/>
        <w:rPr>
          <w:rStyle w:val="16"/>
          <w:rFonts w:hint="eastAsia" w:ascii="仿宋" w:hAnsi="仿宋" w:eastAsia="仿宋" w:cs="Times New Roman"/>
          <w:b/>
          <w:bCs/>
          <w:kern w:val="2"/>
          <w:sz w:val="32"/>
          <w:szCs w:val="32"/>
          <w:lang w:val="en-US" w:eastAsia="zh-CN" w:bidi="ar-SA"/>
        </w:rPr>
      </w:pPr>
      <w:r>
        <w:rPr>
          <w:rStyle w:val="16"/>
          <w:rFonts w:hint="eastAsia" w:ascii="仿宋" w:hAnsi="仿宋" w:eastAsia="仿宋" w:cs="Times New Roman"/>
          <w:b/>
          <w:bCs/>
          <w:kern w:val="2"/>
          <w:sz w:val="32"/>
          <w:szCs w:val="32"/>
          <w:lang w:val="en-US" w:eastAsia="zh-CN" w:bidi="ar-SA"/>
        </w:rPr>
        <w:t>（二）建议</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w:t>
      </w:r>
      <w:r>
        <w:rPr>
          <w:rStyle w:val="16"/>
          <w:rFonts w:hint="eastAsia" w:ascii="仿宋_GB2312" w:hAnsi="宋体" w:eastAsia="仿宋_GB2312" w:cs="Times New Roman"/>
          <w:b w:val="0"/>
          <w:spacing w:val="-4"/>
          <w:sz w:val="28"/>
          <w:szCs w:val="28"/>
          <w:lang w:val="en-US" w:eastAsia="zh-CN"/>
        </w:rPr>
        <w:t>一</w:t>
      </w:r>
      <w:r>
        <w:rPr>
          <w:rStyle w:val="16"/>
          <w:rFonts w:hint="eastAsia" w:ascii="仿宋_GB2312" w:hAnsi="宋体" w:eastAsia="仿宋_GB2312" w:cs="Times New Roman"/>
          <w:b w:val="0"/>
          <w:spacing w:val="-4"/>
          <w:sz w:val="28"/>
          <w:szCs w:val="28"/>
        </w:rPr>
        <w:t>）财务上，会计核算要更加详细，为本单位各项工作的开展、总结、评估提供有效数据资料支撑,为各项业务工作更好的开展提供帮助。</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w:t>
      </w:r>
      <w:r>
        <w:rPr>
          <w:rStyle w:val="16"/>
          <w:rFonts w:hint="eastAsia" w:ascii="仿宋_GB2312" w:hAnsi="宋体" w:eastAsia="仿宋_GB2312" w:cs="Times New Roman"/>
          <w:b w:val="0"/>
          <w:spacing w:val="-4"/>
          <w:sz w:val="28"/>
          <w:szCs w:val="28"/>
          <w:lang w:eastAsia="zh-CN"/>
        </w:rPr>
        <w:t>二</w:t>
      </w:r>
      <w:r>
        <w:rPr>
          <w:rStyle w:val="16"/>
          <w:rFonts w:hint="eastAsia" w:ascii="仿宋_GB2312" w:hAnsi="宋体" w:eastAsia="仿宋_GB2312" w:cs="Times New Roman"/>
          <w:b w:val="0"/>
          <w:spacing w:val="-4"/>
          <w:sz w:val="28"/>
          <w:szCs w:val="28"/>
        </w:rPr>
        <w:t>）从源头上强化对专项资金预算管理。实行专项资金预算管理，结合单位实际, 按轻重缓急统筹安排编制预算,提高预算编制科学性和合理性,优化资金结构。</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w:t>
      </w:r>
      <w:r>
        <w:rPr>
          <w:rStyle w:val="16"/>
          <w:rFonts w:hint="eastAsia" w:ascii="仿宋_GB2312" w:hAnsi="宋体" w:eastAsia="仿宋_GB2312" w:cs="Times New Roman"/>
          <w:b w:val="0"/>
          <w:spacing w:val="-4"/>
          <w:sz w:val="28"/>
          <w:szCs w:val="28"/>
          <w:lang w:eastAsia="zh-CN"/>
        </w:rPr>
        <w:t>三</w:t>
      </w:r>
      <w:r>
        <w:rPr>
          <w:rStyle w:val="16"/>
          <w:rFonts w:hint="eastAsia" w:ascii="仿宋_GB2312" w:hAnsi="宋体" w:eastAsia="仿宋_GB2312" w:cs="Times New Roman"/>
          <w:b w:val="0"/>
          <w:spacing w:val="-4"/>
          <w:sz w:val="28"/>
          <w:szCs w:val="28"/>
        </w:rPr>
        <w:t>）按时间进度分解资金使用计划。专项资金的使用，要事前做计划，事中进行控制，事后总结提高。合理安排资金使用,充分体现资金投向的目标和效益。</w:t>
      </w:r>
    </w:p>
    <w:p>
      <w:pPr>
        <w:snapToGrid w:val="0"/>
        <w:spacing w:line="360" w:lineRule="auto"/>
        <w:ind w:firstLine="544" w:firstLineChars="200"/>
        <w:rPr>
          <w:rStyle w:val="16"/>
          <w:rFonts w:hint="eastAsia" w:ascii="仿宋_GB2312" w:hAnsi="宋体" w:eastAsia="仿宋_GB2312" w:cs="Times New Roman"/>
          <w:b w:val="0"/>
          <w:spacing w:val="-4"/>
          <w:sz w:val="28"/>
          <w:szCs w:val="28"/>
        </w:rPr>
      </w:pPr>
      <w:r>
        <w:rPr>
          <w:rStyle w:val="16"/>
          <w:rFonts w:hint="eastAsia" w:ascii="仿宋_GB2312" w:hAnsi="宋体" w:eastAsia="仿宋_GB2312" w:cs="Times New Roman"/>
          <w:b w:val="0"/>
          <w:spacing w:val="-4"/>
          <w:sz w:val="28"/>
          <w:szCs w:val="28"/>
        </w:rPr>
        <w:t>（</w:t>
      </w:r>
      <w:r>
        <w:rPr>
          <w:rStyle w:val="16"/>
          <w:rFonts w:hint="eastAsia" w:ascii="仿宋_GB2312" w:hAnsi="宋体" w:eastAsia="仿宋_GB2312" w:cs="Times New Roman"/>
          <w:b w:val="0"/>
          <w:spacing w:val="-4"/>
          <w:sz w:val="28"/>
          <w:szCs w:val="28"/>
          <w:lang w:eastAsia="zh-CN"/>
        </w:rPr>
        <w:t>四</w:t>
      </w:r>
      <w:r>
        <w:rPr>
          <w:rStyle w:val="16"/>
          <w:rFonts w:hint="eastAsia" w:ascii="仿宋_GB2312" w:hAnsi="宋体" w:eastAsia="仿宋_GB2312" w:cs="Times New Roman"/>
          <w:b w:val="0"/>
          <w:spacing w:val="-4"/>
          <w:sz w:val="28"/>
          <w:szCs w:val="28"/>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spacing w:line="360" w:lineRule="auto"/>
      </w:pPr>
    </w:p>
    <w:p>
      <w:pPr>
        <w:pStyle w:val="3"/>
        <w:spacing w:line="360" w:lineRule="auto"/>
        <w:rPr>
          <w:rFonts w:asciiTheme="minorEastAsia" w:hAnsiTheme="minorEastAsia"/>
          <w:b/>
          <w:bCs/>
          <w:color w:val="FF0000"/>
          <w:sz w:val="28"/>
          <w:szCs w:val="36"/>
        </w:rPr>
      </w:pPr>
      <w:bookmarkStart w:id="28"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29" w:name="_Hlk70450148"/>
      <w:r>
        <w:rPr>
          <w:rStyle w:val="16"/>
          <w:rFonts w:hint="eastAsia" w:ascii="仿宋" w:hAnsi="仿宋" w:eastAsia="仿宋"/>
          <w:b/>
          <w:bCs/>
          <w:sz w:val="36"/>
          <w:szCs w:val="36"/>
        </w:rPr>
        <w:t>《部门整体支出绩效目标自评表》</w:t>
      </w:r>
      <w:bookmarkEnd w:id="28"/>
      <w:bookmarkEnd w:id="29"/>
    </w:p>
    <w:p>
      <w:r>
        <w:br w:type="page"/>
      </w:r>
    </w:p>
    <w:tbl>
      <w:tblPr>
        <w:tblStyle w:val="14"/>
        <w:tblW w:w="10656" w:type="dxa"/>
        <w:tblInd w:w="-1156" w:type="dxa"/>
        <w:tblLayout w:type="fixed"/>
        <w:tblCellMar>
          <w:top w:w="0" w:type="dxa"/>
          <w:left w:w="108" w:type="dxa"/>
          <w:bottom w:w="0" w:type="dxa"/>
          <w:right w:w="108" w:type="dxa"/>
        </w:tblCellMar>
      </w:tblPr>
      <w:tblGrid>
        <w:gridCol w:w="950"/>
        <w:gridCol w:w="1446"/>
        <w:gridCol w:w="2155"/>
        <w:gridCol w:w="1017"/>
        <w:gridCol w:w="1017"/>
        <w:gridCol w:w="1018"/>
        <w:gridCol w:w="1017"/>
        <w:gridCol w:w="509"/>
        <w:gridCol w:w="509"/>
        <w:gridCol w:w="1018"/>
      </w:tblGrid>
      <w:tr>
        <w:tblPrEx>
          <w:tblLayout w:type="fixed"/>
          <w:tblCellMar>
            <w:top w:w="0" w:type="dxa"/>
            <w:left w:w="108" w:type="dxa"/>
            <w:bottom w:w="0" w:type="dxa"/>
            <w:right w:w="108" w:type="dxa"/>
          </w:tblCellMar>
        </w:tblPrEx>
        <w:trPr>
          <w:trHeight w:val="405" w:hRule="atLeast"/>
        </w:trPr>
        <w:tc>
          <w:tcPr>
            <w:tcW w:w="10656"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_GBK" w:hAnsi="宋体" w:eastAsia="方正小标宋_GBK" w:cs="宋体"/>
                <w:kern w:val="0"/>
                <w:sz w:val="44"/>
                <w:szCs w:val="44"/>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Layout w:type="fixed"/>
          <w:tblCellMar>
            <w:top w:w="0" w:type="dxa"/>
            <w:left w:w="108" w:type="dxa"/>
            <w:bottom w:w="0" w:type="dxa"/>
            <w:right w:w="108" w:type="dxa"/>
          </w:tblCellMar>
        </w:tblPrEx>
        <w:trPr>
          <w:trHeight w:val="664" w:hRule="atLeast"/>
        </w:trPr>
        <w:tc>
          <w:tcPr>
            <w:tcW w:w="10656"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32"/>
                <w:szCs w:val="32"/>
                <w:u w:val="none"/>
                <w:lang w:val="en-US" w:eastAsia="zh-CN" w:bidi="ar"/>
              </w:rPr>
              <w:t>(2021年)</w:t>
            </w:r>
          </w:p>
        </w:tc>
      </w:tr>
      <w:tr>
        <w:tblPrEx>
          <w:tblLayout w:type="fixed"/>
          <w:tblCellMar>
            <w:top w:w="0" w:type="dxa"/>
            <w:left w:w="108" w:type="dxa"/>
            <w:bottom w:w="0" w:type="dxa"/>
            <w:right w:w="108" w:type="dxa"/>
          </w:tblCellMar>
        </w:tblPrEx>
        <w:trPr>
          <w:trHeight w:val="285" w:hRule="atLeast"/>
        </w:trPr>
        <w:tc>
          <w:tcPr>
            <w:tcW w:w="2396"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部门（单位）名称</w:t>
            </w:r>
          </w:p>
        </w:tc>
        <w:tc>
          <w:tcPr>
            <w:tcW w:w="8260"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4"/>
                <w:szCs w:val="24"/>
                <w:u w:val="none"/>
                <w:lang w:val="en-US" w:eastAsia="zh-CN" w:bidi="ar"/>
              </w:rPr>
              <w:t>特克斯县喀拉托海镇人民政府</w:t>
            </w:r>
          </w:p>
        </w:tc>
      </w:tr>
      <w:tr>
        <w:tblPrEx>
          <w:tblLayout w:type="fixed"/>
          <w:tblCellMar>
            <w:top w:w="0" w:type="dxa"/>
            <w:left w:w="108" w:type="dxa"/>
            <w:bottom w:w="0" w:type="dxa"/>
            <w:right w:w="108" w:type="dxa"/>
          </w:tblCellMar>
        </w:tblPrEx>
        <w:trPr>
          <w:trHeight w:val="285" w:hRule="atLeast"/>
        </w:trPr>
        <w:tc>
          <w:tcPr>
            <w:tcW w:w="950"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446"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任务名称</w:t>
            </w:r>
          </w:p>
        </w:tc>
        <w:tc>
          <w:tcPr>
            <w:tcW w:w="2155"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主要内容</w:t>
            </w:r>
          </w:p>
        </w:tc>
        <w:tc>
          <w:tcPr>
            <w:tcW w:w="3052"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预算金额（万元）</w:t>
            </w:r>
          </w:p>
        </w:tc>
        <w:tc>
          <w:tcPr>
            <w:tcW w:w="3053"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实际执行（万元）</w:t>
            </w:r>
          </w:p>
        </w:tc>
      </w:tr>
      <w:tr>
        <w:tblPrEx>
          <w:tblLayout w:type="fixed"/>
          <w:tblCellMar>
            <w:top w:w="0" w:type="dxa"/>
            <w:left w:w="108" w:type="dxa"/>
            <w:bottom w:w="0" w:type="dxa"/>
            <w:right w:w="108" w:type="dxa"/>
          </w:tblCellMar>
        </w:tblPrEx>
        <w:trPr>
          <w:trHeight w:val="285" w:hRule="atLeast"/>
        </w:trPr>
        <w:tc>
          <w:tcPr>
            <w:tcW w:w="95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446"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155"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01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总额</w:t>
            </w:r>
          </w:p>
        </w:tc>
        <w:tc>
          <w:tcPr>
            <w:tcW w:w="1017"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101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其他资金</w:t>
            </w:r>
          </w:p>
        </w:tc>
        <w:tc>
          <w:tcPr>
            <w:tcW w:w="1017"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总额</w:t>
            </w:r>
          </w:p>
        </w:tc>
        <w:tc>
          <w:tcPr>
            <w:tcW w:w="1018"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1018"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r>
      <w:tr>
        <w:tblPrEx>
          <w:tblLayout w:type="fixed"/>
          <w:tblCellMar>
            <w:top w:w="0" w:type="dxa"/>
            <w:left w:w="108" w:type="dxa"/>
            <w:bottom w:w="0" w:type="dxa"/>
            <w:right w:w="108" w:type="dxa"/>
          </w:tblCellMar>
        </w:tblPrEx>
        <w:trPr>
          <w:trHeight w:val="285" w:hRule="atLeast"/>
        </w:trPr>
        <w:tc>
          <w:tcPr>
            <w:tcW w:w="95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446"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人员保障</w:t>
            </w:r>
          </w:p>
        </w:tc>
        <w:tc>
          <w:tcPr>
            <w:tcW w:w="215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保障单位职工工资、津补贴、社保等工资性福利支出;保障政府及各站所日常经费等商品服务类支出</w:t>
            </w:r>
          </w:p>
        </w:tc>
        <w:tc>
          <w:tcPr>
            <w:tcW w:w="101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1401.77 </w:t>
            </w:r>
          </w:p>
        </w:tc>
        <w:tc>
          <w:tcPr>
            <w:tcW w:w="101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1401.77 </w:t>
            </w:r>
          </w:p>
        </w:tc>
        <w:tc>
          <w:tcPr>
            <w:tcW w:w="101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101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0"/>
                <w:szCs w:val="20"/>
                <w:u w:val="none"/>
                <w:lang w:val="en-US" w:eastAsia="zh-CN" w:bidi="ar"/>
              </w:rPr>
              <w:t xml:space="preserve">1401.77 </w:t>
            </w:r>
          </w:p>
        </w:tc>
        <w:tc>
          <w:tcPr>
            <w:tcW w:w="1018"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0"/>
                <w:szCs w:val="20"/>
                <w:u w:val="none"/>
                <w:lang w:val="en-US" w:eastAsia="zh-CN" w:bidi="ar"/>
              </w:rPr>
              <w:t xml:space="preserve">1401.77 </w:t>
            </w:r>
          </w:p>
        </w:tc>
        <w:tc>
          <w:tcPr>
            <w:tcW w:w="101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0"/>
                <w:szCs w:val="20"/>
                <w:u w:val="none"/>
                <w:lang w:val="en-US" w:eastAsia="zh-CN" w:bidi="ar"/>
              </w:rPr>
              <w:t xml:space="preserve">0.00 </w:t>
            </w:r>
          </w:p>
        </w:tc>
      </w:tr>
      <w:tr>
        <w:tblPrEx>
          <w:tblLayout w:type="fixed"/>
          <w:tblCellMar>
            <w:top w:w="0" w:type="dxa"/>
            <w:left w:w="108" w:type="dxa"/>
            <w:bottom w:w="0" w:type="dxa"/>
            <w:right w:w="108" w:type="dxa"/>
          </w:tblCellMar>
        </w:tblPrEx>
        <w:trPr>
          <w:trHeight w:val="285" w:hRule="atLeast"/>
        </w:trPr>
        <w:tc>
          <w:tcPr>
            <w:tcW w:w="95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446"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运转保障</w:t>
            </w:r>
          </w:p>
        </w:tc>
        <w:tc>
          <w:tcPr>
            <w:tcW w:w="2155" w:type="dxa"/>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保障政府及各站所日常经费等商品和服务类支出</w:t>
            </w:r>
          </w:p>
        </w:tc>
        <w:tc>
          <w:tcPr>
            <w:tcW w:w="101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194.40 </w:t>
            </w:r>
          </w:p>
        </w:tc>
        <w:tc>
          <w:tcPr>
            <w:tcW w:w="101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194.40 </w:t>
            </w:r>
          </w:p>
        </w:tc>
        <w:tc>
          <w:tcPr>
            <w:tcW w:w="101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101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0"/>
                <w:szCs w:val="20"/>
                <w:u w:val="none"/>
                <w:lang w:val="en-US" w:eastAsia="zh-CN" w:bidi="ar"/>
              </w:rPr>
              <w:t xml:space="preserve">194.40 </w:t>
            </w:r>
          </w:p>
        </w:tc>
        <w:tc>
          <w:tcPr>
            <w:tcW w:w="1018"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0"/>
                <w:szCs w:val="20"/>
                <w:u w:val="none"/>
                <w:lang w:val="en-US" w:eastAsia="zh-CN" w:bidi="ar"/>
              </w:rPr>
              <w:t xml:space="preserve">194.40 </w:t>
            </w:r>
          </w:p>
        </w:tc>
        <w:tc>
          <w:tcPr>
            <w:tcW w:w="101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0"/>
                <w:szCs w:val="20"/>
                <w:u w:val="none"/>
                <w:lang w:val="en-US" w:eastAsia="zh-CN" w:bidi="ar"/>
              </w:rPr>
              <w:t xml:space="preserve">0.00 </w:t>
            </w:r>
          </w:p>
        </w:tc>
      </w:tr>
      <w:tr>
        <w:tblPrEx>
          <w:tblLayout w:type="fixed"/>
          <w:tblCellMar>
            <w:top w:w="0" w:type="dxa"/>
            <w:left w:w="108" w:type="dxa"/>
            <w:bottom w:w="0" w:type="dxa"/>
            <w:right w:w="108" w:type="dxa"/>
          </w:tblCellMar>
        </w:tblPrEx>
        <w:trPr>
          <w:trHeight w:val="285" w:hRule="atLeast"/>
        </w:trPr>
        <w:tc>
          <w:tcPr>
            <w:tcW w:w="95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3601"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金额合计</w:t>
            </w:r>
          </w:p>
        </w:tc>
        <w:tc>
          <w:tcPr>
            <w:tcW w:w="101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1596.17 </w:t>
            </w:r>
          </w:p>
        </w:tc>
        <w:tc>
          <w:tcPr>
            <w:tcW w:w="101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1596.17 </w:t>
            </w:r>
          </w:p>
        </w:tc>
        <w:tc>
          <w:tcPr>
            <w:tcW w:w="101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0.00 </w:t>
            </w:r>
          </w:p>
        </w:tc>
        <w:tc>
          <w:tcPr>
            <w:tcW w:w="101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1596.17 </w:t>
            </w:r>
          </w:p>
        </w:tc>
        <w:tc>
          <w:tcPr>
            <w:tcW w:w="1018"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 xml:space="preserve">1596.17 </w:t>
            </w:r>
          </w:p>
        </w:tc>
        <w:tc>
          <w:tcPr>
            <w:tcW w:w="101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 xml:space="preserve">0.00 </w:t>
            </w:r>
          </w:p>
        </w:tc>
      </w:tr>
      <w:tr>
        <w:tblPrEx>
          <w:tblLayout w:type="fixed"/>
          <w:tblCellMar>
            <w:top w:w="0" w:type="dxa"/>
            <w:left w:w="108" w:type="dxa"/>
            <w:bottom w:w="0" w:type="dxa"/>
            <w:right w:w="108" w:type="dxa"/>
          </w:tblCellMar>
        </w:tblPrEx>
        <w:trPr>
          <w:trHeight w:val="285" w:hRule="atLeast"/>
        </w:trPr>
        <w:tc>
          <w:tcPr>
            <w:tcW w:w="950"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年度总体目标</w:t>
            </w:r>
          </w:p>
        </w:tc>
        <w:tc>
          <w:tcPr>
            <w:tcW w:w="4618"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24"/>
                <w:lang w:val="en-US" w:eastAsia="zh-CN"/>
              </w:rPr>
            </w:pPr>
            <w:r>
              <w:rPr>
                <w:rFonts w:hint="eastAsia" w:ascii="宋体" w:hAnsi="宋体" w:eastAsia="宋体" w:cs="宋体"/>
                <w:b/>
                <w:bCs/>
                <w:i w:val="0"/>
                <w:iCs w:val="0"/>
                <w:color w:val="000000"/>
                <w:kern w:val="0"/>
                <w:sz w:val="24"/>
                <w:szCs w:val="24"/>
                <w:u w:val="none"/>
                <w:lang w:val="en-US" w:eastAsia="zh-CN" w:bidi="ar"/>
              </w:rPr>
              <w:t>预期目标</w:t>
            </w:r>
          </w:p>
        </w:tc>
        <w:tc>
          <w:tcPr>
            <w:tcW w:w="5088"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实际完成目标</w:t>
            </w:r>
          </w:p>
        </w:tc>
      </w:tr>
      <w:tr>
        <w:tblPrEx>
          <w:tblLayout w:type="fixed"/>
          <w:tblCellMar>
            <w:top w:w="0" w:type="dxa"/>
            <w:left w:w="108" w:type="dxa"/>
            <w:bottom w:w="0" w:type="dxa"/>
            <w:right w:w="108" w:type="dxa"/>
          </w:tblCellMar>
        </w:tblPrEx>
        <w:trPr>
          <w:trHeight w:val="285" w:hRule="atLeast"/>
        </w:trPr>
        <w:tc>
          <w:tcPr>
            <w:tcW w:w="95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4618"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目标1：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                                                                         目标2：保证单位财政供养人员基本工资、津贴补贴、艰边补助预算的收支，保证单位工作正常开展和各项任务顺利完成。</w:t>
            </w:r>
          </w:p>
        </w:tc>
        <w:tc>
          <w:tcPr>
            <w:tcW w:w="5088"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目标1：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                                                                         目标2：保证单位财政供养人员基本工资、津贴补贴、艰边补助预算的收支，保证单位工作正常开展和各项任务顺利完成。</w:t>
            </w:r>
          </w:p>
        </w:tc>
      </w:tr>
      <w:tr>
        <w:tblPrEx>
          <w:tblLayout w:type="fixed"/>
          <w:tblCellMar>
            <w:top w:w="0" w:type="dxa"/>
            <w:left w:w="108" w:type="dxa"/>
            <w:bottom w:w="0" w:type="dxa"/>
            <w:right w:w="108" w:type="dxa"/>
          </w:tblCellMar>
        </w:tblPrEx>
        <w:trPr>
          <w:trHeight w:val="2070" w:hRule="atLeast"/>
        </w:trPr>
        <w:tc>
          <w:tcPr>
            <w:tcW w:w="95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44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一级指标</w:t>
            </w:r>
          </w:p>
        </w:tc>
        <w:tc>
          <w:tcPr>
            <w:tcW w:w="215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二级指标</w:t>
            </w:r>
          </w:p>
        </w:tc>
        <w:tc>
          <w:tcPr>
            <w:tcW w:w="3052"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三级指标</w:t>
            </w:r>
          </w:p>
        </w:tc>
        <w:tc>
          <w:tcPr>
            <w:tcW w:w="152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527"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Layout w:type="fixed"/>
          <w:tblCellMar>
            <w:top w:w="0" w:type="dxa"/>
            <w:left w:w="108" w:type="dxa"/>
            <w:bottom w:w="0" w:type="dxa"/>
            <w:right w:w="108" w:type="dxa"/>
          </w:tblCellMar>
        </w:tblPrEx>
        <w:trPr>
          <w:trHeight w:val="885" w:hRule="atLeast"/>
        </w:trPr>
        <w:tc>
          <w:tcPr>
            <w:tcW w:w="950"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446" w:type="dxa"/>
            <w:vMerge w:val="restart"/>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产出指标</w:t>
            </w:r>
          </w:p>
        </w:tc>
        <w:tc>
          <w:tcPr>
            <w:tcW w:w="2155"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数量指标</w:t>
            </w:r>
          </w:p>
        </w:tc>
        <w:tc>
          <w:tcPr>
            <w:tcW w:w="3052"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保障性工资发放人数</w:t>
            </w:r>
          </w:p>
        </w:tc>
        <w:tc>
          <w:tcPr>
            <w:tcW w:w="152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4"/>
              </w:rPr>
            </w:pPr>
            <w:r>
              <w:rPr>
                <w:rFonts w:hint="eastAsia" w:ascii="宋体" w:hAnsi="宋体" w:eastAsia="宋体" w:cs="宋体"/>
                <w:i w:val="0"/>
                <w:iCs w:val="0"/>
                <w:color w:val="000000"/>
                <w:kern w:val="0"/>
                <w:sz w:val="20"/>
                <w:szCs w:val="20"/>
                <w:u w:val="none"/>
                <w:lang w:val="en-US" w:eastAsia="zh-CN" w:bidi="ar"/>
              </w:rPr>
              <w:t>≥144人</w:t>
            </w:r>
          </w:p>
        </w:tc>
        <w:tc>
          <w:tcPr>
            <w:tcW w:w="1527"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144人</w:t>
            </w:r>
          </w:p>
        </w:tc>
      </w:tr>
      <w:tr>
        <w:tblPrEx>
          <w:tblLayout w:type="fixed"/>
          <w:tblCellMar>
            <w:top w:w="0" w:type="dxa"/>
            <w:left w:w="108" w:type="dxa"/>
            <w:bottom w:w="0" w:type="dxa"/>
            <w:right w:w="108" w:type="dxa"/>
          </w:tblCellMar>
        </w:tblPrEx>
        <w:trPr>
          <w:trHeight w:val="90" w:hRule="atLeast"/>
        </w:trPr>
        <w:tc>
          <w:tcPr>
            <w:tcW w:w="95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446"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2155"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305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喀拉托海镇支出总单位</w:t>
            </w:r>
          </w:p>
        </w:tc>
        <w:tc>
          <w:tcPr>
            <w:tcW w:w="152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=10个</w:t>
            </w:r>
          </w:p>
        </w:tc>
        <w:tc>
          <w:tcPr>
            <w:tcW w:w="152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10个</w:t>
            </w:r>
          </w:p>
        </w:tc>
      </w:tr>
      <w:tr>
        <w:tblPrEx>
          <w:tblLayout w:type="fixed"/>
          <w:tblCellMar>
            <w:top w:w="0" w:type="dxa"/>
            <w:left w:w="108" w:type="dxa"/>
            <w:bottom w:w="0" w:type="dxa"/>
            <w:right w:w="108" w:type="dxa"/>
          </w:tblCellMar>
        </w:tblPrEx>
        <w:trPr>
          <w:trHeight w:val="372" w:hRule="atLeast"/>
        </w:trPr>
        <w:tc>
          <w:tcPr>
            <w:tcW w:w="95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44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155"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质量指标</w:t>
            </w:r>
          </w:p>
        </w:tc>
        <w:tc>
          <w:tcPr>
            <w:tcW w:w="305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全年全乡人员工资及社保错发漏发率</w:t>
            </w:r>
          </w:p>
        </w:tc>
        <w:tc>
          <w:tcPr>
            <w:tcW w:w="152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w:t>
            </w:r>
          </w:p>
        </w:tc>
        <w:tc>
          <w:tcPr>
            <w:tcW w:w="152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0.1%</w:t>
            </w:r>
          </w:p>
        </w:tc>
      </w:tr>
      <w:tr>
        <w:tblPrEx>
          <w:tblLayout w:type="fixed"/>
          <w:tblCellMar>
            <w:top w:w="0" w:type="dxa"/>
            <w:left w:w="108" w:type="dxa"/>
            <w:bottom w:w="0" w:type="dxa"/>
            <w:right w:w="108" w:type="dxa"/>
          </w:tblCellMar>
        </w:tblPrEx>
        <w:trPr>
          <w:trHeight w:val="285" w:hRule="atLeast"/>
        </w:trPr>
        <w:tc>
          <w:tcPr>
            <w:tcW w:w="95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44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155"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305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工资及社保发放准确率</w:t>
            </w:r>
          </w:p>
        </w:tc>
        <w:tc>
          <w:tcPr>
            <w:tcW w:w="152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≥99%</w:t>
            </w:r>
          </w:p>
        </w:tc>
        <w:tc>
          <w:tcPr>
            <w:tcW w:w="152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285" w:hRule="atLeast"/>
        </w:trPr>
        <w:tc>
          <w:tcPr>
            <w:tcW w:w="95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44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155"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时效指标</w:t>
            </w:r>
          </w:p>
        </w:tc>
        <w:tc>
          <w:tcPr>
            <w:tcW w:w="305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工资及社保发放及时性</w:t>
            </w:r>
          </w:p>
        </w:tc>
        <w:tc>
          <w:tcPr>
            <w:tcW w:w="152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≥90%</w:t>
            </w:r>
          </w:p>
        </w:tc>
        <w:tc>
          <w:tcPr>
            <w:tcW w:w="152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r>
      <w:tr>
        <w:tblPrEx>
          <w:tblLayout w:type="fixed"/>
          <w:tblCellMar>
            <w:top w:w="0" w:type="dxa"/>
            <w:left w:w="108" w:type="dxa"/>
            <w:bottom w:w="0" w:type="dxa"/>
            <w:right w:w="108" w:type="dxa"/>
          </w:tblCellMar>
        </w:tblPrEx>
        <w:trPr>
          <w:trHeight w:val="240" w:hRule="atLeast"/>
        </w:trPr>
        <w:tc>
          <w:tcPr>
            <w:tcW w:w="95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44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155"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305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检查任务按时完成率</w:t>
            </w:r>
          </w:p>
        </w:tc>
        <w:tc>
          <w:tcPr>
            <w:tcW w:w="152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≥99%</w:t>
            </w:r>
          </w:p>
        </w:tc>
        <w:tc>
          <w:tcPr>
            <w:tcW w:w="152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99%</w:t>
            </w:r>
          </w:p>
        </w:tc>
      </w:tr>
      <w:tr>
        <w:tblPrEx>
          <w:tblLayout w:type="fixed"/>
          <w:tblCellMar>
            <w:top w:w="0" w:type="dxa"/>
            <w:left w:w="108" w:type="dxa"/>
            <w:bottom w:w="0" w:type="dxa"/>
            <w:right w:w="108" w:type="dxa"/>
          </w:tblCellMar>
        </w:tblPrEx>
        <w:trPr>
          <w:trHeight w:val="285" w:hRule="atLeast"/>
        </w:trPr>
        <w:tc>
          <w:tcPr>
            <w:tcW w:w="95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44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155"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成本指标</w:t>
            </w:r>
          </w:p>
        </w:tc>
        <w:tc>
          <w:tcPr>
            <w:tcW w:w="305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人均工资支出标准</w:t>
            </w:r>
          </w:p>
        </w:tc>
        <w:tc>
          <w:tcPr>
            <w:tcW w:w="152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≤8.62万元</w:t>
            </w:r>
          </w:p>
        </w:tc>
        <w:tc>
          <w:tcPr>
            <w:tcW w:w="152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8.62万元</w:t>
            </w:r>
          </w:p>
        </w:tc>
      </w:tr>
      <w:tr>
        <w:tblPrEx>
          <w:tblLayout w:type="fixed"/>
          <w:tblCellMar>
            <w:top w:w="0" w:type="dxa"/>
            <w:left w:w="108" w:type="dxa"/>
            <w:bottom w:w="0" w:type="dxa"/>
            <w:right w:w="108" w:type="dxa"/>
          </w:tblCellMar>
        </w:tblPrEx>
        <w:trPr>
          <w:trHeight w:val="285" w:hRule="atLeast"/>
        </w:trPr>
        <w:tc>
          <w:tcPr>
            <w:tcW w:w="95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44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155"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305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人均运转经费数</w:t>
            </w:r>
          </w:p>
        </w:tc>
        <w:tc>
          <w:tcPr>
            <w:tcW w:w="1526" w:type="dxa"/>
            <w:gridSpan w:val="2"/>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≤1.35万元</w:t>
            </w:r>
          </w:p>
        </w:tc>
        <w:tc>
          <w:tcPr>
            <w:tcW w:w="152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1.35万元</w:t>
            </w:r>
          </w:p>
        </w:tc>
      </w:tr>
      <w:tr>
        <w:tblPrEx>
          <w:tblLayout w:type="fixed"/>
          <w:tblCellMar>
            <w:top w:w="0" w:type="dxa"/>
            <w:left w:w="108" w:type="dxa"/>
            <w:bottom w:w="0" w:type="dxa"/>
            <w:right w:w="108" w:type="dxa"/>
          </w:tblCellMar>
        </w:tblPrEx>
        <w:trPr>
          <w:trHeight w:val="324" w:hRule="atLeast"/>
        </w:trPr>
        <w:tc>
          <w:tcPr>
            <w:tcW w:w="95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446"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效益指标</w:t>
            </w:r>
          </w:p>
        </w:tc>
        <w:tc>
          <w:tcPr>
            <w:tcW w:w="2155"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经济效益指标</w:t>
            </w:r>
          </w:p>
        </w:tc>
        <w:tc>
          <w:tcPr>
            <w:tcW w:w="305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带动当地居民增加年收入额</w:t>
            </w:r>
          </w:p>
        </w:tc>
        <w:tc>
          <w:tcPr>
            <w:tcW w:w="152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≥500元</w:t>
            </w:r>
          </w:p>
        </w:tc>
        <w:tc>
          <w:tcPr>
            <w:tcW w:w="152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500元</w:t>
            </w:r>
          </w:p>
        </w:tc>
      </w:tr>
      <w:tr>
        <w:tblPrEx>
          <w:tblLayout w:type="fixed"/>
          <w:tblCellMar>
            <w:top w:w="0" w:type="dxa"/>
            <w:left w:w="108" w:type="dxa"/>
            <w:bottom w:w="0" w:type="dxa"/>
            <w:right w:w="108" w:type="dxa"/>
          </w:tblCellMar>
        </w:tblPrEx>
        <w:trPr>
          <w:trHeight w:val="285" w:hRule="atLeast"/>
        </w:trPr>
        <w:tc>
          <w:tcPr>
            <w:tcW w:w="95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446"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2155"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社会效益指标</w:t>
            </w:r>
          </w:p>
        </w:tc>
        <w:tc>
          <w:tcPr>
            <w:tcW w:w="305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提升公共服务水平</w:t>
            </w:r>
          </w:p>
        </w:tc>
        <w:tc>
          <w:tcPr>
            <w:tcW w:w="152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有效提升</w:t>
            </w:r>
          </w:p>
        </w:tc>
        <w:tc>
          <w:tcPr>
            <w:tcW w:w="152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4"/>
                <w:szCs w:val="24"/>
                <w:u w:val="none"/>
                <w:lang w:val="en-US" w:eastAsia="zh-CN" w:bidi="ar"/>
              </w:rPr>
              <w:t>有所提升</w:t>
            </w:r>
          </w:p>
        </w:tc>
      </w:tr>
      <w:tr>
        <w:tblPrEx>
          <w:tblLayout w:type="fixed"/>
          <w:tblCellMar>
            <w:top w:w="0" w:type="dxa"/>
            <w:left w:w="108" w:type="dxa"/>
            <w:bottom w:w="0" w:type="dxa"/>
            <w:right w:w="108" w:type="dxa"/>
          </w:tblCellMar>
        </w:tblPrEx>
        <w:trPr>
          <w:trHeight w:val="285" w:hRule="atLeast"/>
        </w:trPr>
        <w:tc>
          <w:tcPr>
            <w:tcW w:w="95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44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155"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305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各项政策群众知晓率</w:t>
            </w:r>
          </w:p>
        </w:tc>
        <w:tc>
          <w:tcPr>
            <w:tcW w:w="152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≥97%</w:t>
            </w:r>
          </w:p>
        </w:tc>
        <w:tc>
          <w:tcPr>
            <w:tcW w:w="152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97%</w:t>
            </w:r>
          </w:p>
        </w:tc>
      </w:tr>
      <w:tr>
        <w:tblPrEx>
          <w:tblLayout w:type="fixed"/>
          <w:tblCellMar>
            <w:top w:w="0" w:type="dxa"/>
            <w:left w:w="108" w:type="dxa"/>
            <w:bottom w:w="0" w:type="dxa"/>
            <w:right w:w="108" w:type="dxa"/>
          </w:tblCellMar>
        </w:tblPrEx>
        <w:trPr>
          <w:trHeight w:val="285" w:hRule="atLeast"/>
        </w:trPr>
        <w:tc>
          <w:tcPr>
            <w:tcW w:w="95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44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155"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生态效益指标</w:t>
            </w:r>
          </w:p>
        </w:tc>
        <w:tc>
          <w:tcPr>
            <w:tcW w:w="305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扩大辖区绿化面积</w:t>
            </w:r>
          </w:p>
        </w:tc>
        <w:tc>
          <w:tcPr>
            <w:tcW w:w="152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不断扩大</w:t>
            </w:r>
          </w:p>
        </w:tc>
        <w:tc>
          <w:tcPr>
            <w:tcW w:w="152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不断扩大</w:t>
            </w:r>
          </w:p>
        </w:tc>
      </w:tr>
      <w:tr>
        <w:tblPrEx>
          <w:tblLayout w:type="fixed"/>
          <w:tblCellMar>
            <w:top w:w="0" w:type="dxa"/>
            <w:left w:w="108" w:type="dxa"/>
            <w:bottom w:w="0" w:type="dxa"/>
            <w:right w:w="108" w:type="dxa"/>
          </w:tblCellMar>
        </w:tblPrEx>
        <w:trPr>
          <w:trHeight w:val="285" w:hRule="atLeast"/>
        </w:trPr>
        <w:tc>
          <w:tcPr>
            <w:tcW w:w="95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44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155"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可持续影响指标</w:t>
            </w:r>
          </w:p>
        </w:tc>
        <w:tc>
          <w:tcPr>
            <w:tcW w:w="305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问题整改落实率</w:t>
            </w:r>
          </w:p>
        </w:tc>
        <w:tc>
          <w:tcPr>
            <w:tcW w:w="152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≥20%</w:t>
            </w:r>
          </w:p>
        </w:tc>
        <w:tc>
          <w:tcPr>
            <w:tcW w:w="152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20%</w:t>
            </w:r>
          </w:p>
        </w:tc>
      </w:tr>
      <w:tr>
        <w:tblPrEx>
          <w:tblLayout w:type="fixed"/>
          <w:tblCellMar>
            <w:top w:w="0" w:type="dxa"/>
            <w:left w:w="108" w:type="dxa"/>
            <w:bottom w:w="0" w:type="dxa"/>
            <w:right w:w="108" w:type="dxa"/>
          </w:tblCellMar>
        </w:tblPrEx>
        <w:trPr>
          <w:trHeight w:val="285" w:hRule="atLeast"/>
        </w:trPr>
        <w:tc>
          <w:tcPr>
            <w:tcW w:w="95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446"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2155"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305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辖区群众满意度</w:t>
            </w:r>
          </w:p>
        </w:tc>
        <w:tc>
          <w:tcPr>
            <w:tcW w:w="152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≥96%</w:t>
            </w:r>
          </w:p>
        </w:tc>
        <w:tc>
          <w:tcPr>
            <w:tcW w:w="152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96%</w:t>
            </w:r>
          </w:p>
        </w:tc>
      </w:tr>
      <w:tr>
        <w:tblPrEx>
          <w:tblLayout w:type="fixed"/>
          <w:tblCellMar>
            <w:top w:w="0" w:type="dxa"/>
            <w:left w:w="108" w:type="dxa"/>
            <w:bottom w:w="0" w:type="dxa"/>
            <w:right w:w="108" w:type="dxa"/>
          </w:tblCellMar>
        </w:tblPrEx>
        <w:trPr>
          <w:trHeight w:val="285" w:hRule="atLeast"/>
        </w:trPr>
        <w:tc>
          <w:tcPr>
            <w:tcW w:w="950"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446"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155"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3052" w:type="dxa"/>
            <w:gridSpan w:val="3"/>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来往游客满意度</w:t>
            </w:r>
          </w:p>
        </w:tc>
        <w:tc>
          <w:tcPr>
            <w:tcW w:w="1526"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≥97%</w:t>
            </w:r>
          </w:p>
        </w:tc>
        <w:tc>
          <w:tcPr>
            <w:tcW w:w="1527"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97%</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0AFF" w:usb1="00007843" w:usb2="00000001" w:usb3="00000000" w:csb0="400001BF" w:csb1="DFF7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0EA203"/>
    <w:multiLevelType w:val="singleLevel"/>
    <w:tmpl w:val="8D0EA203"/>
    <w:lvl w:ilvl="0" w:tentative="0">
      <w:start w:val="2"/>
      <w:numFmt w:val="decimal"/>
      <w:suff w:val="nothing"/>
      <w:lvlText w:val="%1、"/>
      <w:lvlJc w:val="left"/>
    </w:lvl>
  </w:abstractNum>
  <w:abstractNum w:abstractNumId="1">
    <w:nsid w:val="94969F55"/>
    <w:multiLevelType w:val="singleLevel"/>
    <w:tmpl w:val="94969F55"/>
    <w:lvl w:ilvl="0" w:tentative="0">
      <w:start w:val="5"/>
      <w:numFmt w:val="decimal"/>
      <w:suff w:val="nothing"/>
      <w:lvlText w:val="%1、"/>
      <w:lvlJc w:val="left"/>
    </w:lvl>
  </w:abstractNum>
  <w:abstractNum w:abstractNumId="2">
    <w:nsid w:val="3C135CC1"/>
    <w:multiLevelType w:val="singleLevel"/>
    <w:tmpl w:val="3C135CC1"/>
    <w:lvl w:ilvl="0" w:tentative="0">
      <w:start w:val="7"/>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16BE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19D73AC"/>
    <w:rsid w:val="01F114A6"/>
    <w:rsid w:val="02484B6E"/>
    <w:rsid w:val="029C3B08"/>
    <w:rsid w:val="02DA3CC1"/>
    <w:rsid w:val="031C07A5"/>
    <w:rsid w:val="03DB240E"/>
    <w:rsid w:val="048C3708"/>
    <w:rsid w:val="0586372C"/>
    <w:rsid w:val="05E7509A"/>
    <w:rsid w:val="06253E14"/>
    <w:rsid w:val="06752A87"/>
    <w:rsid w:val="06D2410C"/>
    <w:rsid w:val="078B5EF9"/>
    <w:rsid w:val="07A62D33"/>
    <w:rsid w:val="07B70A9C"/>
    <w:rsid w:val="07C531B9"/>
    <w:rsid w:val="085E716A"/>
    <w:rsid w:val="09015BE9"/>
    <w:rsid w:val="091A12E3"/>
    <w:rsid w:val="091F4B4B"/>
    <w:rsid w:val="098175B4"/>
    <w:rsid w:val="09CB082F"/>
    <w:rsid w:val="09EB0ED1"/>
    <w:rsid w:val="0A622F41"/>
    <w:rsid w:val="0B744CA6"/>
    <w:rsid w:val="0C083FBC"/>
    <w:rsid w:val="0C6A2581"/>
    <w:rsid w:val="0CAF61E6"/>
    <w:rsid w:val="0CC25F19"/>
    <w:rsid w:val="0D957AD2"/>
    <w:rsid w:val="0E344BF5"/>
    <w:rsid w:val="0E3C7F4D"/>
    <w:rsid w:val="0E9A5E97"/>
    <w:rsid w:val="0F783207"/>
    <w:rsid w:val="0FB3564F"/>
    <w:rsid w:val="106B4B1A"/>
    <w:rsid w:val="10FD1C16"/>
    <w:rsid w:val="11551654"/>
    <w:rsid w:val="122356AC"/>
    <w:rsid w:val="12C329EB"/>
    <w:rsid w:val="14404441"/>
    <w:rsid w:val="14537D9F"/>
    <w:rsid w:val="146444A6"/>
    <w:rsid w:val="14742426"/>
    <w:rsid w:val="14CE45A8"/>
    <w:rsid w:val="152C2AC9"/>
    <w:rsid w:val="15640AA1"/>
    <w:rsid w:val="15B8610B"/>
    <w:rsid w:val="15E72E94"/>
    <w:rsid w:val="15FA2BC8"/>
    <w:rsid w:val="1618304E"/>
    <w:rsid w:val="16966EF0"/>
    <w:rsid w:val="16C64858"/>
    <w:rsid w:val="16F5338F"/>
    <w:rsid w:val="170C16E1"/>
    <w:rsid w:val="17591B70"/>
    <w:rsid w:val="17DC67EF"/>
    <w:rsid w:val="18436C36"/>
    <w:rsid w:val="18C1177B"/>
    <w:rsid w:val="1A4C776A"/>
    <w:rsid w:val="1A5362BB"/>
    <w:rsid w:val="1A952EBF"/>
    <w:rsid w:val="1AE96D67"/>
    <w:rsid w:val="1B2A7AAB"/>
    <w:rsid w:val="1B966EEF"/>
    <w:rsid w:val="1BD23FAB"/>
    <w:rsid w:val="1BE87456"/>
    <w:rsid w:val="1BF14125"/>
    <w:rsid w:val="1CA078F9"/>
    <w:rsid w:val="1DE06B47"/>
    <w:rsid w:val="1DFA16B9"/>
    <w:rsid w:val="1DFC3255"/>
    <w:rsid w:val="1EB60E4D"/>
    <w:rsid w:val="1F02489B"/>
    <w:rsid w:val="1F1F485F"/>
    <w:rsid w:val="20AA51EA"/>
    <w:rsid w:val="216A3BD1"/>
    <w:rsid w:val="21E312B2"/>
    <w:rsid w:val="21FF7C28"/>
    <w:rsid w:val="22D672D2"/>
    <w:rsid w:val="23A34744"/>
    <w:rsid w:val="24E011DB"/>
    <w:rsid w:val="24E07AA9"/>
    <w:rsid w:val="257302A1"/>
    <w:rsid w:val="25E35426"/>
    <w:rsid w:val="26A76454"/>
    <w:rsid w:val="26F23447"/>
    <w:rsid w:val="27267A13"/>
    <w:rsid w:val="27A26C1B"/>
    <w:rsid w:val="27CB6172"/>
    <w:rsid w:val="281620D2"/>
    <w:rsid w:val="285C703D"/>
    <w:rsid w:val="2BB62C95"/>
    <w:rsid w:val="2BF57187"/>
    <w:rsid w:val="2C016606"/>
    <w:rsid w:val="2C622E1D"/>
    <w:rsid w:val="2D0D2D89"/>
    <w:rsid w:val="2D360531"/>
    <w:rsid w:val="2D48398D"/>
    <w:rsid w:val="2DAD00C8"/>
    <w:rsid w:val="2EDE0530"/>
    <w:rsid w:val="2EE93382"/>
    <w:rsid w:val="2F7B66D0"/>
    <w:rsid w:val="3069113C"/>
    <w:rsid w:val="30E97669"/>
    <w:rsid w:val="328F5FEE"/>
    <w:rsid w:val="32BD6FFF"/>
    <w:rsid w:val="332A5E0A"/>
    <w:rsid w:val="33D01715"/>
    <w:rsid w:val="33DC5263"/>
    <w:rsid w:val="33FD3ED6"/>
    <w:rsid w:val="34360E17"/>
    <w:rsid w:val="345117AD"/>
    <w:rsid w:val="35611EC4"/>
    <w:rsid w:val="35E905E6"/>
    <w:rsid w:val="35E9561F"/>
    <w:rsid w:val="363A30B0"/>
    <w:rsid w:val="36575075"/>
    <w:rsid w:val="37570927"/>
    <w:rsid w:val="37700458"/>
    <w:rsid w:val="389600D6"/>
    <w:rsid w:val="38C509BB"/>
    <w:rsid w:val="39184F8F"/>
    <w:rsid w:val="39241B86"/>
    <w:rsid w:val="3925145A"/>
    <w:rsid w:val="394538AA"/>
    <w:rsid w:val="39687310"/>
    <w:rsid w:val="39B937AE"/>
    <w:rsid w:val="39B95A52"/>
    <w:rsid w:val="39F33306"/>
    <w:rsid w:val="3A41670B"/>
    <w:rsid w:val="3A511EE8"/>
    <w:rsid w:val="3A563FC1"/>
    <w:rsid w:val="3A791A5E"/>
    <w:rsid w:val="3BA23236"/>
    <w:rsid w:val="3BB014AF"/>
    <w:rsid w:val="3BB84807"/>
    <w:rsid w:val="3C0510FC"/>
    <w:rsid w:val="3CB925E5"/>
    <w:rsid w:val="3D4A38B9"/>
    <w:rsid w:val="3D5D7415"/>
    <w:rsid w:val="3DC41242"/>
    <w:rsid w:val="3E1A5306"/>
    <w:rsid w:val="3EAE4B79"/>
    <w:rsid w:val="3ECF60F0"/>
    <w:rsid w:val="40DE1E57"/>
    <w:rsid w:val="41A43864"/>
    <w:rsid w:val="41AA2E44"/>
    <w:rsid w:val="41F83352"/>
    <w:rsid w:val="424A1F26"/>
    <w:rsid w:val="424B1F31"/>
    <w:rsid w:val="42CF2B62"/>
    <w:rsid w:val="435819FA"/>
    <w:rsid w:val="43A47A04"/>
    <w:rsid w:val="4654337F"/>
    <w:rsid w:val="465A2709"/>
    <w:rsid w:val="467F65F8"/>
    <w:rsid w:val="478C2ED5"/>
    <w:rsid w:val="48064CD8"/>
    <w:rsid w:val="483B65A4"/>
    <w:rsid w:val="48B40105"/>
    <w:rsid w:val="48C06AA9"/>
    <w:rsid w:val="494E0559"/>
    <w:rsid w:val="497D49F7"/>
    <w:rsid w:val="498875C7"/>
    <w:rsid w:val="4C184E0F"/>
    <w:rsid w:val="4CD945DE"/>
    <w:rsid w:val="4D0027AB"/>
    <w:rsid w:val="4DCD139D"/>
    <w:rsid w:val="4E353A96"/>
    <w:rsid w:val="4EA34EA3"/>
    <w:rsid w:val="4F567181"/>
    <w:rsid w:val="51445D25"/>
    <w:rsid w:val="51823496"/>
    <w:rsid w:val="52B4767F"/>
    <w:rsid w:val="53163E96"/>
    <w:rsid w:val="531D0468"/>
    <w:rsid w:val="532B1DA2"/>
    <w:rsid w:val="53AE2320"/>
    <w:rsid w:val="540E6587"/>
    <w:rsid w:val="542421E8"/>
    <w:rsid w:val="54A24918"/>
    <w:rsid w:val="54C26D1A"/>
    <w:rsid w:val="552A00CC"/>
    <w:rsid w:val="553B7BE4"/>
    <w:rsid w:val="56150435"/>
    <w:rsid w:val="563D5BDD"/>
    <w:rsid w:val="56DE2F1C"/>
    <w:rsid w:val="576A47B0"/>
    <w:rsid w:val="57CC7219"/>
    <w:rsid w:val="57FF139C"/>
    <w:rsid w:val="583E7ABF"/>
    <w:rsid w:val="58975A79"/>
    <w:rsid w:val="58B101BD"/>
    <w:rsid w:val="59A3044D"/>
    <w:rsid w:val="5A380B96"/>
    <w:rsid w:val="5AB15B89"/>
    <w:rsid w:val="5AF379DF"/>
    <w:rsid w:val="5B9E2C7A"/>
    <w:rsid w:val="5C125416"/>
    <w:rsid w:val="5CDC6150"/>
    <w:rsid w:val="5CF76AE6"/>
    <w:rsid w:val="5D351E7A"/>
    <w:rsid w:val="5D8B36D2"/>
    <w:rsid w:val="5D9E7743"/>
    <w:rsid w:val="5DA57877"/>
    <w:rsid w:val="5E1B579C"/>
    <w:rsid w:val="5EF84D97"/>
    <w:rsid w:val="5F9E76ED"/>
    <w:rsid w:val="5FAE445A"/>
    <w:rsid w:val="5FCD32BF"/>
    <w:rsid w:val="5FF75EB0"/>
    <w:rsid w:val="60347784"/>
    <w:rsid w:val="61155C4E"/>
    <w:rsid w:val="61604F65"/>
    <w:rsid w:val="62A80882"/>
    <w:rsid w:val="63290A42"/>
    <w:rsid w:val="64772017"/>
    <w:rsid w:val="64951DB3"/>
    <w:rsid w:val="655C6080"/>
    <w:rsid w:val="664663E8"/>
    <w:rsid w:val="66AF0431"/>
    <w:rsid w:val="67955879"/>
    <w:rsid w:val="67C41CBB"/>
    <w:rsid w:val="67EE4F89"/>
    <w:rsid w:val="68435627"/>
    <w:rsid w:val="690031C6"/>
    <w:rsid w:val="69435ADF"/>
    <w:rsid w:val="69693705"/>
    <w:rsid w:val="69DD52B6"/>
    <w:rsid w:val="6A506276"/>
    <w:rsid w:val="6AA3205B"/>
    <w:rsid w:val="6B4C6371"/>
    <w:rsid w:val="6B572E46"/>
    <w:rsid w:val="6B82517B"/>
    <w:rsid w:val="6B906B0F"/>
    <w:rsid w:val="6B960293"/>
    <w:rsid w:val="6C3D028D"/>
    <w:rsid w:val="6C671046"/>
    <w:rsid w:val="6C7F4402"/>
    <w:rsid w:val="6C9F4AA4"/>
    <w:rsid w:val="6EE964AB"/>
    <w:rsid w:val="6F432BEA"/>
    <w:rsid w:val="70310C13"/>
    <w:rsid w:val="704368F9"/>
    <w:rsid w:val="705B5186"/>
    <w:rsid w:val="7087599F"/>
    <w:rsid w:val="712F38B6"/>
    <w:rsid w:val="713779A1"/>
    <w:rsid w:val="71630796"/>
    <w:rsid w:val="71D43310"/>
    <w:rsid w:val="72A94C54"/>
    <w:rsid w:val="72D8486C"/>
    <w:rsid w:val="73104006"/>
    <w:rsid w:val="73351CBE"/>
    <w:rsid w:val="75EE7FBE"/>
    <w:rsid w:val="760449E8"/>
    <w:rsid w:val="76116A13"/>
    <w:rsid w:val="77530965"/>
    <w:rsid w:val="782F13D2"/>
    <w:rsid w:val="78770459"/>
    <w:rsid w:val="78A31478"/>
    <w:rsid w:val="790A599B"/>
    <w:rsid w:val="796B4E8C"/>
    <w:rsid w:val="7A4E7C04"/>
    <w:rsid w:val="7A652E89"/>
    <w:rsid w:val="7A8377B3"/>
    <w:rsid w:val="7A86548B"/>
    <w:rsid w:val="7B3F680F"/>
    <w:rsid w:val="7B58173D"/>
    <w:rsid w:val="7B871525"/>
    <w:rsid w:val="7B9C6D7F"/>
    <w:rsid w:val="7BC63DFB"/>
    <w:rsid w:val="7BFC0BC4"/>
    <w:rsid w:val="7C3D07C3"/>
    <w:rsid w:val="7C727ADF"/>
    <w:rsid w:val="7C8617DD"/>
    <w:rsid w:val="7CE86C9A"/>
    <w:rsid w:val="7D3A769A"/>
    <w:rsid w:val="7D441E80"/>
    <w:rsid w:val="7ECF746B"/>
    <w:rsid w:val="7EFB0260"/>
    <w:rsid w:val="7FFB7D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23</Pages>
  <Words>10367</Words>
  <Characters>11087</Characters>
  <Lines>72</Lines>
  <Paragraphs>20</Paragraphs>
  <TotalTime>11</TotalTime>
  <ScaleCrop>false</ScaleCrop>
  <LinksUpToDate>false</LinksUpToDate>
  <CharactersWithSpaces>11345</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wq</cp:lastModifiedBy>
  <dcterms:modified xsi:type="dcterms:W3CDTF">2023-08-11T03:44:25Z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4113463676EE4C61AA4AFCAEDAF98ED2</vt:lpwstr>
  </property>
</Properties>
</file>